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92" w:tblpY="2218"/>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tcPr>
          <w:p>
            <w:pPr>
              <w:spacing w:line="560" w:lineRule="exact"/>
              <w:jc w:val="center"/>
              <w:rPr>
                <w:bCs/>
                <w:sz w:val="32"/>
                <w:szCs w:val="32"/>
              </w:rPr>
            </w:pPr>
            <w:bookmarkStart w:id="0" w:name="_GoBack" w:colFirst="1" w:colLast="1"/>
            <w:r>
              <w:rPr>
                <w:rFonts w:hint="eastAsia"/>
                <w:bCs/>
                <w:sz w:val="32"/>
                <w:szCs w:val="32"/>
              </w:rPr>
              <w:t>处罚要素名称</w:t>
            </w:r>
          </w:p>
        </w:tc>
        <w:tc>
          <w:tcPr>
            <w:tcW w:w="5593" w:type="dxa"/>
          </w:tcPr>
          <w:p>
            <w:pPr>
              <w:spacing w:line="560" w:lineRule="exact"/>
              <w:jc w:val="cente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6" w:type="dxa"/>
            <w:vAlign w:val="center"/>
          </w:tcPr>
          <w:p>
            <w:pPr>
              <w:spacing w:line="560" w:lineRule="exact"/>
              <w:jc w:val="center"/>
              <w:rPr>
                <w:sz w:val="32"/>
                <w:szCs w:val="32"/>
              </w:rPr>
            </w:pPr>
            <w:r>
              <w:rPr>
                <w:rFonts w:hint="eastAsia"/>
                <w:sz w:val="32"/>
                <w:szCs w:val="32"/>
              </w:rPr>
              <w:t>行政处罚决定书文号</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宁(银兴)煤安罚〔2023〕020号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案件名称</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对红墩子煤业有限公司（红二煤矿）行政处罚案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6" w:type="dxa"/>
            <w:vAlign w:val="center"/>
          </w:tcPr>
          <w:p>
            <w:pPr>
              <w:spacing w:line="560" w:lineRule="exact"/>
              <w:jc w:val="center"/>
              <w:rPr>
                <w:sz w:val="32"/>
                <w:szCs w:val="32"/>
              </w:rPr>
            </w:pPr>
            <w:r>
              <w:rPr>
                <w:rFonts w:hint="eastAsia"/>
                <w:sz w:val="32"/>
                <w:szCs w:val="32"/>
              </w:rPr>
              <w:t>违法事实</w:t>
            </w:r>
          </w:p>
        </w:tc>
        <w:tc>
          <w:tcPr>
            <w:tcW w:w="5593" w:type="dxa"/>
            <w:vAlign w:val="center"/>
          </w:tcPr>
          <w:p>
            <w:pPr>
              <w:spacing w:line="56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+675m中部车场运输石门掘进工作面一部刮板运输机驱动电机未安装接地保护；2.+675m中部车场运输石门掘进工作面未每天检查安全监控设备甲烷传感器是否正常。现场试验时甲烷传感器进气口堵塞，无法进气；3.+675m中部车场运输石门掘进工作面未严格执行敲帮问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处罚依据</w:t>
            </w:r>
          </w:p>
        </w:tc>
        <w:tc>
          <w:tcPr>
            <w:tcW w:w="5593" w:type="dxa"/>
            <w:vAlign w:val="center"/>
          </w:tcPr>
          <w:p>
            <w:pPr>
              <w:spacing w:line="56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1.《中华人民共和国安全生产法》第九十九条第二项；2.《中华人民共和国安全生产法》第九十九条第二项；3.《矿山安全法实施条例》第五十四条规定。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6" w:type="dxa"/>
            <w:vAlign w:val="center"/>
          </w:tcPr>
          <w:p>
            <w:pPr>
              <w:spacing w:line="560" w:lineRule="exact"/>
              <w:jc w:val="center"/>
              <w:rPr>
                <w:sz w:val="32"/>
                <w:szCs w:val="32"/>
              </w:rPr>
            </w:pPr>
            <w:r>
              <w:rPr>
                <w:rFonts w:hint="eastAsia"/>
                <w:sz w:val="32"/>
                <w:szCs w:val="32"/>
              </w:rPr>
              <w:t>处罚类别</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shd w:val="clear" w:color="auto" w:fill="FFFFFF"/>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行政相对人名称</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宁夏红墩子煤业有限公司红二煤矿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6" w:type="dxa"/>
            <w:vAlign w:val="center"/>
          </w:tcPr>
          <w:p>
            <w:pPr>
              <w:spacing w:line="560" w:lineRule="exact"/>
              <w:jc w:val="center"/>
              <w:rPr>
                <w:sz w:val="32"/>
                <w:szCs w:val="32"/>
              </w:rPr>
            </w:pPr>
            <w:r>
              <w:rPr>
                <w:rFonts w:hint="eastAsia"/>
                <w:sz w:val="32"/>
                <w:szCs w:val="32"/>
              </w:rPr>
              <w:t>行政相对人统一社会信用代码（身份证号）</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法定代表人姓名</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周德琛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3266" w:type="dxa"/>
            <w:vAlign w:val="center"/>
          </w:tcPr>
          <w:p>
            <w:pPr>
              <w:spacing w:line="560" w:lineRule="exact"/>
              <w:jc w:val="center"/>
              <w:rPr>
                <w:sz w:val="32"/>
                <w:szCs w:val="32"/>
              </w:rPr>
            </w:pPr>
            <w:r>
              <w:rPr>
                <w:rFonts w:hint="eastAsia"/>
                <w:sz w:val="32"/>
                <w:szCs w:val="32"/>
              </w:rPr>
              <w:t>处罚结果</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shd w:val="clear" w:color="auto" w:fill="FFFFFF"/>
              </w:rPr>
              <w:t>经裁量后，对宁夏红墩子有限公司红二煤矿合并处陆万元整（￥60000）罚款。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处罚决定日期</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公示截止日期</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2026年6月20日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处罚机关</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银川市兴庆区应急管理局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当前状态</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6" w:type="dxa"/>
            <w:vAlign w:val="center"/>
          </w:tcPr>
          <w:p>
            <w:pPr>
              <w:spacing w:line="560" w:lineRule="exact"/>
              <w:jc w:val="center"/>
              <w:rPr>
                <w:sz w:val="32"/>
                <w:szCs w:val="32"/>
              </w:rPr>
            </w:pPr>
            <w:r>
              <w:rPr>
                <w:rFonts w:hint="eastAsia"/>
                <w:sz w:val="32"/>
                <w:szCs w:val="32"/>
              </w:rPr>
              <w:t>信息提交科室</w:t>
            </w:r>
          </w:p>
        </w:tc>
        <w:tc>
          <w:tcPr>
            <w:tcW w:w="5593" w:type="dxa"/>
            <w:vAlign w:val="center"/>
          </w:tcPr>
          <w:p>
            <w:pPr>
              <w:spacing w:line="5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银川市兴庆区应急管理局矿山办公室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3266" w:type="dxa"/>
            <w:vAlign w:val="center"/>
          </w:tcPr>
          <w:p>
            <w:pPr>
              <w:spacing w:line="560" w:lineRule="exact"/>
              <w:jc w:val="center"/>
              <w:rPr>
                <w:sz w:val="32"/>
                <w:szCs w:val="32"/>
              </w:rPr>
            </w:pPr>
            <w:r>
              <w:rPr>
                <w:rFonts w:hint="eastAsia"/>
                <w:sz w:val="32"/>
                <w:szCs w:val="32"/>
              </w:rPr>
              <w:t>法制机构审查意见</w:t>
            </w:r>
          </w:p>
        </w:tc>
        <w:tc>
          <w:tcPr>
            <w:tcW w:w="5593" w:type="dxa"/>
            <w:vAlign w:val="center"/>
          </w:tcPr>
          <w:p>
            <w:pPr>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主体合格。</w:t>
            </w:r>
          </w:p>
          <w:p>
            <w:pPr>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本案违法行为的事实基本清楚，证据确凿。</w:t>
            </w:r>
          </w:p>
          <w:p>
            <w:pPr>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适用法律正确。</w:t>
            </w:r>
          </w:p>
          <w:p>
            <w:pPr>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行政处罚程序合法。</w:t>
            </w:r>
          </w:p>
          <w:p>
            <w:pPr>
              <w:spacing w:line="56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自由裁量适当。</w:t>
            </w:r>
          </w:p>
        </w:tc>
      </w:tr>
      <w:bookmarkEnd w:id="0"/>
    </w:tbl>
    <w:p>
      <w:pPr>
        <w:jc w:val="center"/>
        <w:rPr>
          <w:rFonts w:ascii="黑体" w:hAnsi="黑体" w:eastAsia="黑体" w:cs="黑体"/>
          <w:sz w:val="44"/>
          <w:szCs w:val="44"/>
        </w:rPr>
      </w:pPr>
    </w:p>
    <w:sectPr>
      <w:head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行政处罚信息公示</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kzMWE3NzQ3ODdkNjhkYjc0OTU5OTExYjViNWUifQ=="/>
  </w:docVars>
  <w:rsids>
    <w:rsidRoot w:val="001B7C7F"/>
    <w:rsid w:val="001B7C7F"/>
    <w:rsid w:val="002A1C39"/>
    <w:rsid w:val="005C3BBB"/>
    <w:rsid w:val="005D5F1D"/>
    <w:rsid w:val="008C5843"/>
    <w:rsid w:val="008E441B"/>
    <w:rsid w:val="008F1AAA"/>
    <w:rsid w:val="009B1A9F"/>
    <w:rsid w:val="00A71B69"/>
    <w:rsid w:val="00A837D3"/>
    <w:rsid w:val="00AA697A"/>
    <w:rsid w:val="00BD0D24"/>
    <w:rsid w:val="00DC79CB"/>
    <w:rsid w:val="00F277A5"/>
    <w:rsid w:val="00F82FE8"/>
    <w:rsid w:val="0E2A646C"/>
    <w:rsid w:val="31C859A2"/>
    <w:rsid w:val="4AB83713"/>
    <w:rsid w:val="6D405AD7"/>
    <w:rsid w:val="76275D5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basedOn w:val="6"/>
    <w:link w:val="2"/>
    <w:uiPriority w:val="0"/>
    <w:rPr>
      <w:rFonts w:asciiTheme="minorHAnsi" w:hAnsiTheme="minorHAnsi" w:eastAsiaTheme="minorEastAsia" w:cstheme="minorBidi"/>
      <w:kern w:val="2"/>
      <w:sz w:val="18"/>
      <w:szCs w:val="18"/>
    </w:rPr>
  </w:style>
  <w:style w:type="character" w:customStyle="1" w:styleId="10">
    <w:name w:val="页眉 字符"/>
    <w:basedOn w:val="6"/>
    <w:link w:val="4"/>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character" w:customStyle="1" w:styleId="12">
    <w:name w:val="标题 字符"/>
    <w:basedOn w:val="6"/>
    <w:link w:val="5"/>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Words>
  <Characters>474</Characters>
  <Lines>3</Lines>
  <Paragraphs>1</Paragraphs>
  <TotalTime>0</TotalTime>
  <ScaleCrop>false</ScaleCrop>
  <LinksUpToDate>false</LinksUpToDate>
  <CharactersWithSpaces>556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2023-02-06T03:07:00Z</dcterms:created>
  <dc:creator>Administrator</dc:creator>
  <cp:lastModifiedBy>王娜</cp:lastModifiedBy>
  <cp:lastPrinted>2023-03-03T02:05:00Z</cp:lastPrinted>
  <dcterms:modified xsi:type="dcterms:W3CDTF">2023-06-27T01:49:53Z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049D984DFD62483D84F98E39B7F6BA32</vt:lpwstr>
  </property>
</Properties>
</file>