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兴庆区“三高三路”区域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拆违治乱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综合整治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为贯彻落实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《中共中央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国务院关于学习运用“千村示范、万村整治”工程经验有力有效推进乡村全面振兴的意见》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改善农村基础设施、人居环境和公共服务，加快构建现代乡村产业体系，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结合工作实际，制定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《兴庆区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“三高三路”区域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拆违治乱综合整治工作实施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一、工作目标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全面落实习近平总书记关于改善农村人居环境重要指示批示精神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，把优化人居环境作为农村建设的重要抓手，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属地管理、依法治理、标本兼治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的原则，对新老京藏高速、青银高速、贺兰山路、兴庆路、北京路周边区域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开展拆违治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乱综合整治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专项行动。坚持高效率开展排查摸底，高起点制定措施办法，高标准完成整治任务，高要求进行督导检查，形成城乡人居环境整治长效机制，营造整洁、有序、文明、优美的城乡环境，为实施乡村振兴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战略奠定良好基础。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二、组织领导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为有效落实农村环境治理工作，成立兴庆区“三高三路”区域拆违治乱综合整治工作专班，统筹推进工作。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组  长：范永胜  兴庆区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区委常委 政府副区长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副组长：杜新艳  兴庆区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综合执法局局长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王爱华  兴庆区自然资源局局长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陆  涛  兴庆区住建交通局局长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范  伏  兴庆区农业农村和水务局局长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任桂霞  大新镇镇长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韩文龙  掌政镇镇长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常昊天  通贵乡乡长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王新明  兴庆区公安分局副局长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石太景  兴庆区综合执法局副局长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张  鹏  兴庆区综合执法局副局长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成员单位：自然资源局、住建交通局、综合执法局、农水局、公安兴庆分局、大新镇、通贵乡、掌政镇。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综合整治工作专班办公室设在兴庆区综合执法局，负责做好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“三高三路”区域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拆违治乱综合整治统筹协调、建立台账、督导销号、数据汇总等工作。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任务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整治城乡违法建设行为。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贯彻落实《中华人民共和国城乡规划法》等法律法规规定，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新老京藏高速、青银高速、贺兰山路、兴庆路、北京路周边区域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内开展违法建设拆除行动，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各乡镇人民政府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负责核实道路两侧建筑物的用地手续，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清理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整治破旧建筑物、店外棚、简易房、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彩钢房、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采石挖沙点、废旧回收点等有碍观瞻的建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（构）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物和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场所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规范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农业区各类泵房、看护房。在相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关职能部门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配合下，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依法查处未取得建设工程规划许可证建设的违法行为；依法对未经批准进行临时建设的（占道亭房）、未按照批准内容进行临时建设的、临时建筑物、构筑物超过批准期限不拆除的违法行为进行查处。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牵头单位：综合执法局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责任单位：自然资源局、住建交通局、农水局、各乡镇人民政府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整治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违法设置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广告牌匾。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全面清理整治全镇范围内的地面墙面、树上杆上张贴的违法和无序户外广告，乱涂乱画的涂鸦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牛皮癣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、空中悬挂的破旧彩旗和白色垃圾。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综合执法局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各职能部门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，拆除公路沿线违法设置广告牌匾，清洁更换污损广告牌匾，加固维修存在安全隐患广告牌匾，及时清理乱拉乱挂简易横幅及乱贴小广告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整治道路沿线乱停乱放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“僵尸”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车辆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，清理以车辆为载体违规设置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广告标牌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现象。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牵头单位：综合执法局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责任单位：农水局、交警二大队、各乡镇人民政府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（三）整治卫生面貌脏盲难点。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加强农村庄点巷道沿线、院落房前屋后等公共区域的清扫保洁，全面清理公路（道路）沿线、村庄内外等区域堆积的生活垃圾；清理整治树坑、雨水井、绿化林带及主干道两侧垃圾杂物、乱贴乱画、白色污染，清除卫生死角；持续开展沟渠河道漂浮塑料及白色垃圾清理整治，加强人流、车流密集性易脏乱区域巡回保洁力度。采用多种机械联合加人工辅助清洗模式，加强支路乡道洒水、降尘和洗扫作业力量，延伸机械化作业覆盖率。整治垃圾箱、果皮箱、广告牌、公交站等公共设施面貌，加强公共卫生间精细化保洁管理，整治垃圾中转站墙壁、地面及垃圾箱地坑卫生。根据《兴庆区城乡环卫市场化运行考核管理办法（补充）》，各乡镇人民政府加强做好环卫市场化监管考核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牵头单位：综合执法局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责任单位：农水局、各乡镇人民政府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四、年度目标任务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（一）拆违。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全面核实新老京藏高速、青银高速、贺兰山路、兴庆路、北京路周边区域的土地、规划、建设等各项手续，对确认的违法建筑物进行拆除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规范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美化河道、湖区、农业区各类泵房、看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护房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清理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村庄废弃建筑物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拆除村庄内废弃的墙、废弃圈舍库房、农村闲置建（构）筑物、彩钢房等，提升乡村环境整洁度。整治交通沿线违章建筑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拆除临时建（构）筑物和交通沿线违章建筑物，保障交通安全和道路景观。拆除有碍观瞻的场所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对道路控制区内的破旧建筑、无序市场、采石挖砂点、废品回收站（点）等进行拆除、迁移或规范，提升城市形象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（二）治乱。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彻底清理村庄和道路沿线的垃圾堆、柴草秸秆堆、粪堆、渣土堆、煤堆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，集中整治道路沿线乱堆乱放等现象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；整治清理乱涂乱画、乱张贴小广告；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重点整治公路沿线主干线以及村庄的脏、乱、差现象；严厉整治乱倒垃圾行为；整治道路沿线乱停乱放车辆、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“僵尸车”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；整治广告标牌标示不规范不完善、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脏乱差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，道路设施损毁和不完善等问题。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（三）净面。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清理村庄内外、道路两侧、绿化林带等区域的各类生活垃圾，加强院落房前屋后散落垃圾保洁，清理沟渠河塘内漂浮垃圾，彻底清除卫生死角，整治人流、车流密集性易脏乱区域，合理设置垃圾箱（桶），确保村庄路面、路肩、边坡、边沟、绿化带、桥涵及周边环境干净整洁。加强农村公厕管理，保障垃圾中转站运行顺畅，确保卫生设施整洁、安全，提升农村公共卫生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（一）全面排查阶段（2025年2月-6月）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各乡镇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根据整治重点组织开展全面排查，对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“三高三路”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域内的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违法建设、违法设置广告牌匾、卫生面貌脏盲难点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问题，进行拉网式排查摸底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确保不留死角、不遗漏任何问题，对排查出的问题要逐一登记造册，形成详细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台账，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为确保专项整治行动的顺利进行和高效协调，请各乡镇于1月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日前，将此次专项行动的分管领导、联络员名单（附件1）报送至综合整治工作专班办公室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为后续全面开展集中整治工作奠定坚实的基础，确保各项整治措施能够迅速、准确地落实到位。（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"mailto:ycxqqcgj@163.com"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ycxqqcgj@163.com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联系电话：0951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-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6033444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集中整治阶段（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2025年6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月﹣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2026年12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要按照实施方案要求，上下联动、密切配合，全面覆盖、不留死角，深入开展“三高三路”区域拆违治乱综合整治工作。要根据整治标准和排查出的各类问题，严格落实工作责任，详列问题清单，建立工作台账，明确责任主体，制定工作措施，倒排整改时限，实行销号管理，建立长效机制。确保所有任务保质保量按期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巩固提升阶段（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2026年12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月﹣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2027年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1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要对整治阶段工作进行认真总结，采取有效措施巩固整治成果，综合整治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工作专班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将对挂账整治和限期整改的情况逐一进行复查，确保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此次违法建设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整治问题不反弹。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（一）提高思想认识，强化责任落实。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要提高对此次违法建设专项治理行动的认识，思想上高度重视，切实加强组织领导，压实工作责任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履行好专项治理工作主体责任，统筹负责落实本地区专项治理工作，进一步明确工作进度，完善工作措施、强化责任落实。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（二）明确职责，确保整治效果。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对监管范围内存在的违法建设开展起底式、全覆盖排查整治，做到守土负责、守土尽责。要结合自身职责和工作实际制定切实可行的具体工作措施，明确牵头领导、责任人以及整治标准，做到重点突出、宣传到位、准备充分、形成合力，确保整治工作取得成效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（三）严格督查落实，紧盯问题整改。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要认真梳理、排查问题清单，做到"早发现、早制止、早处置"，违法建设专项治理工作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专班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将对上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清单与实际不一致的情况进行通报。三高三路”区域拆违治乱综合整治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期间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，于每月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报送综合整治、销号台账（附件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2-附件4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），附主要领导签字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报送至综合整治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工作专班办公室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。（电子邮箱：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"mailto:ycxqqcgj@163.com"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ycxqqcgj@163.com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联系电话：0951-6033444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附件：1.违法建设专项整治联络统计表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2.违法建设整治排查工作台账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3.垃圾废弃物乱堆乱放问题清理整治工作台账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4.乱涂乱画广告牌匾整治工作台账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4" w:right="1587" w:bottom="1587" w:left="1587" w:header="851" w:footer="992" w:gutter="0"/>
          <w:pgNumType w:fmt="decimal" w:start="2"/>
          <w:cols w:space="720" w:num="1"/>
          <w:docGrid w:type="lines" w:linePitch="312" w:charSpace="0"/>
        </w:sect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附件1：</w:t>
      </w: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“三高三路”区域违法建设专项整治联络统计表</w:t>
      </w:r>
    </w:p>
    <w:p>
      <w:pPr>
        <w:pStyle w:val="3"/>
        <w:ind w:left="0" w:leftChars="0" w:firstLine="0" w:firstLineChars="0"/>
        <w:jc w:val="both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填报单位:                                                             填报时间：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分管领导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联络员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4" w:type="default"/>
          <w:pgSz w:w="16838" w:h="11906" w:orient="landscape"/>
          <w:pgMar w:top="1587" w:right="1984" w:bottom="1587" w:left="1587" w:header="851" w:footer="992" w:gutter="0"/>
          <w:pgNumType w:fmt="decimal" w:start="9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28" w:firstLine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“三高三路”区域违法建设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整治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排查工作台账</w:t>
      </w:r>
    </w:p>
    <w:p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填报单位:                                                              填报时间：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879"/>
        <w:gridCol w:w="1422"/>
        <w:gridCol w:w="1391"/>
        <w:gridCol w:w="1633"/>
        <w:gridCol w:w="2012"/>
        <w:gridCol w:w="1527"/>
        <w:gridCol w:w="1240"/>
        <w:gridCol w:w="1270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违建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类型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（既有/在建）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结构类型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违法事实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拆除面积（㎡）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处理结果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是否销号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备注：既有是指之前就有的违法建设；在建是指正在建设就被查处的；结构类型是指彩钢板、钢架结构、砖混等。</w:t>
      </w: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6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“三高三路”区域垃圾废弃物乱堆乱放问题清理整治工作台账</w:t>
      </w:r>
    </w:p>
    <w:p>
      <w:pPr>
        <w:pStyle w:val="3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填报单位:                                                              填报时间：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25"/>
        <w:gridCol w:w="1440"/>
        <w:gridCol w:w="1545"/>
        <w:gridCol w:w="1470"/>
        <w:gridCol w:w="1545"/>
        <w:gridCol w:w="1500"/>
        <w:gridCol w:w="1596"/>
        <w:gridCol w:w="1734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具体地点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废固类型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面积（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㎡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占地类型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整改时限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1596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整改进展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是否销号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4：</w:t>
      </w: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“三高三路”区域乱涂乱画广告牌匾整治工作台账</w:t>
      </w:r>
    </w:p>
    <w:p>
      <w:pPr>
        <w:pStyle w:val="3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填报单位:                                                              填报时间：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365"/>
        <w:gridCol w:w="1425"/>
        <w:gridCol w:w="1500"/>
        <w:gridCol w:w="2355"/>
        <w:gridCol w:w="1545"/>
        <w:gridCol w:w="1380"/>
        <w:gridCol w:w="1440"/>
        <w:gridCol w:w="1380"/>
        <w:gridCol w:w="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商户名称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具体类型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存在问题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（存在安全隐患、脏污、破损等）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整改情况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(已整改、正在整改等)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整改期限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是否销号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pStyle w:val="3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18" w:firstLine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587" w:right="1984" w:bottom="1587" w:left="1587" w:header="1417" w:footer="992" w:gutter="0"/>
      <w:pgNumType w:fmt="decimal" w:start="10"/>
      <w:cols w:space="0" w:num="1"/>
      <w:rtlGutter w:val="0"/>
      <w:docGrid w:type="linesAndChars" w:linePitch="579" w:charSpace="-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FqO20AQAAUgMAAA4AAABkcnMv&#10;ZTJvRG9jLnhtbK1TzW4TMRC+I/EOlu/Em6h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YUWo7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5wLxc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36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HorizontalSpacing w:val="104"/>
  <w:drawingGridVerticalSpacing w:val="156"/>
  <w:displayHorizontalDrawingGridEvery w:val="2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ODU5NTQ5NzQ5ZTFkN2YwNDZiNTc4NGMzZDk5YjAifQ=="/>
  </w:docVars>
  <w:rsids>
    <w:rsidRoot w:val="7A403615"/>
    <w:rsid w:val="066473A3"/>
    <w:rsid w:val="08646E76"/>
    <w:rsid w:val="094C486F"/>
    <w:rsid w:val="0B256970"/>
    <w:rsid w:val="0C6D38CD"/>
    <w:rsid w:val="0E117699"/>
    <w:rsid w:val="0E937D2C"/>
    <w:rsid w:val="0F952777"/>
    <w:rsid w:val="10024DB7"/>
    <w:rsid w:val="12257BCD"/>
    <w:rsid w:val="12AE465F"/>
    <w:rsid w:val="132043F8"/>
    <w:rsid w:val="1422173A"/>
    <w:rsid w:val="15F04F0D"/>
    <w:rsid w:val="1A276993"/>
    <w:rsid w:val="1A2945A3"/>
    <w:rsid w:val="1CF4108C"/>
    <w:rsid w:val="1DC7385A"/>
    <w:rsid w:val="224D70AC"/>
    <w:rsid w:val="237706DC"/>
    <w:rsid w:val="27E45486"/>
    <w:rsid w:val="28BC5807"/>
    <w:rsid w:val="2D9F3BFD"/>
    <w:rsid w:val="2E891805"/>
    <w:rsid w:val="2EA92855"/>
    <w:rsid w:val="2ED43377"/>
    <w:rsid w:val="303C3A3A"/>
    <w:rsid w:val="31912835"/>
    <w:rsid w:val="34186BE0"/>
    <w:rsid w:val="355C1F58"/>
    <w:rsid w:val="35C5162D"/>
    <w:rsid w:val="378E2935"/>
    <w:rsid w:val="390679ED"/>
    <w:rsid w:val="4024719D"/>
    <w:rsid w:val="40FB7670"/>
    <w:rsid w:val="4153125A"/>
    <w:rsid w:val="42D530D2"/>
    <w:rsid w:val="45D92B6C"/>
    <w:rsid w:val="50163130"/>
    <w:rsid w:val="502C03CE"/>
    <w:rsid w:val="554C66BA"/>
    <w:rsid w:val="564B6D04"/>
    <w:rsid w:val="58AB3352"/>
    <w:rsid w:val="597C7908"/>
    <w:rsid w:val="5A5C4C83"/>
    <w:rsid w:val="5A9D4E83"/>
    <w:rsid w:val="5F20509C"/>
    <w:rsid w:val="5F4260B6"/>
    <w:rsid w:val="5F77807E"/>
    <w:rsid w:val="5FF106F9"/>
    <w:rsid w:val="60356496"/>
    <w:rsid w:val="639C2820"/>
    <w:rsid w:val="6D993D7E"/>
    <w:rsid w:val="6DA847B2"/>
    <w:rsid w:val="6EB52463"/>
    <w:rsid w:val="6FF90BDB"/>
    <w:rsid w:val="70CA0A67"/>
    <w:rsid w:val="71E24C1A"/>
    <w:rsid w:val="7254415B"/>
    <w:rsid w:val="74625B79"/>
    <w:rsid w:val="75521466"/>
    <w:rsid w:val="76850CAC"/>
    <w:rsid w:val="77044026"/>
    <w:rsid w:val="78043FC5"/>
    <w:rsid w:val="782C19E8"/>
    <w:rsid w:val="783D75F0"/>
    <w:rsid w:val="790C105B"/>
    <w:rsid w:val="7A403615"/>
    <w:rsid w:val="7CF36C98"/>
    <w:rsid w:val="7D0207E5"/>
    <w:rsid w:val="7E25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3320</Words>
  <Characters>3410</Characters>
  <Lines>0</Lines>
  <Paragraphs>0</Paragraphs>
  <TotalTime>20</TotalTime>
  <ScaleCrop>false</ScaleCrop>
  <LinksUpToDate>false</LinksUpToDate>
  <CharactersWithSpaces>3540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2021-06-11T10:09:00Z</dcterms:created>
  <dc:creator>张华宁</dc:creator>
  <cp:lastModifiedBy>kylin</cp:lastModifiedBy>
  <cp:lastPrinted>2024-08-20T10:35:00Z</cp:lastPrinted>
  <dcterms:modified xsi:type="dcterms:W3CDTF">2025-03-12T16:24:47Z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300D43590E22453D8352062343FD8030_13</vt:lpwstr>
  </property>
  <property fmtid="{D5CDD505-2E9C-101B-9397-08002B2CF9AE}" pid="4" name="KSOTemplateDocerSaveRecord">
    <vt:lpwstr>eyJoZGlkIjoiOTNmMDFkZDA3MWVmMzJmOGQwMjI3NWU4NjBkNDhjMzIifQ==</vt:lpwstr>
  </property>
</Properties>
</file>