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120" w:after="120" w:line="240" w:lineRule="auto"/>
        <w:ind w:left="898" w:leftChars="408"/>
        <w:jc w:val="center"/>
        <w:rPr>
          <w:rFonts w:ascii="黑体" w:hAnsi="黑体" w:eastAsia="黑体"/>
          <w:color w:val="000000"/>
          <w:kern w:val="2"/>
          <w:sz w:val="44"/>
          <w:szCs w:val="44"/>
          <w:lang w:eastAsia="zh-CN"/>
        </w:rPr>
      </w:pPr>
      <w:bookmarkStart w:id="0" w:name="_Toc7057"/>
      <w:bookmarkStart w:id="1" w:name="_Toc20711"/>
      <w:r>
        <w:rPr>
          <w:rFonts w:hint="eastAsia" w:ascii="黑体" w:hAnsi="黑体" w:eastAsia="黑体"/>
          <w:color w:val="000000"/>
          <w:kern w:val="2"/>
          <w:sz w:val="44"/>
          <w:szCs w:val="44"/>
          <w:lang w:eastAsia="zh-CN"/>
        </w:rPr>
        <w:t>2022年度兴庆区黄河银川段两岸河滩地收回整治生态修复项目绩效评价报告</w:t>
      </w: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left="2398" w:leftChars="408" w:hanging="1500" w:hangingChars="500"/>
        <w:jc w:val="both"/>
        <w:rPr>
          <w:rFonts w:ascii="黑体" w:hAnsi="黑体" w:eastAsia="黑体"/>
          <w:color w:val="000000"/>
          <w:kern w:val="2"/>
          <w:sz w:val="30"/>
          <w:szCs w:val="30"/>
          <w:lang w:eastAsia="zh-CN"/>
        </w:rPr>
      </w:pPr>
    </w:p>
    <w:p>
      <w:pPr>
        <w:widowControl w:val="0"/>
        <w:spacing w:before="120" w:after="120" w:line="240" w:lineRule="auto"/>
        <w:ind w:firstLine="900" w:firstLineChars="300"/>
        <w:jc w:val="both"/>
        <w:rPr>
          <w:rFonts w:ascii="Times New Roman" w:hAnsi="Times New Roman" w:eastAsia="黑体"/>
          <w:color w:val="000000"/>
          <w:kern w:val="2"/>
          <w:sz w:val="30"/>
          <w:szCs w:val="30"/>
          <w:lang w:eastAsia="zh-CN"/>
        </w:rPr>
      </w:pPr>
    </w:p>
    <w:p>
      <w:pPr>
        <w:widowControl w:val="0"/>
        <w:spacing w:after="0" w:line="360" w:lineRule="auto"/>
        <w:ind w:firstLine="840" w:firstLineChars="300"/>
        <w:jc w:val="both"/>
        <w:rPr>
          <w:rFonts w:ascii="黑体" w:hAnsi="黑体" w:eastAsia="黑体"/>
          <w:bCs/>
          <w:color w:val="000000"/>
          <w:kern w:val="2"/>
          <w:sz w:val="28"/>
          <w:szCs w:val="28"/>
          <w:lang w:eastAsia="zh-CN"/>
        </w:rPr>
      </w:pPr>
      <w:r>
        <w:rPr>
          <w:rFonts w:hint="eastAsia" w:ascii="黑体" w:hAnsi="黑体" w:eastAsia="黑体"/>
          <w:bCs/>
          <w:color w:val="000000"/>
          <w:kern w:val="2"/>
          <w:sz w:val="28"/>
          <w:szCs w:val="28"/>
          <w:lang w:eastAsia="zh-CN"/>
        </w:rPr>
        <w:t>项目单位：银川市兴庆</w:t>
      </w:r>
      <w:r>
        <w:rPr>
          <w:rFonts w:ascii="黑体" w:hAnsi="黑体" w:eastAsia="黑体"/>
          <w:bCs/>
          <w:color w:val="000000"/>
          <w:kern w:val="2"/>
          <w:sz w:val="28"/>
          <w:szCs w:val="28"/>
          <w:lang w:eastAsia="zh-CN"/>
        </w:rPr>
        <w:t>区</w:t>
      </w:r>
      <w:r>
        <w:rPr>
          <w:rFonts w:hint="eastAsia" w:ascii="黑体" w:hAnsi="黑体" w:eastAsia="黑体"/>
          <w:bCs/>
          <w:color w:val="000000"/>
          <w:kern w:val="2"/>
          <w:sz w:val="28"/>
          <w:szCs w:val="28"/>
          <w:lang w:eastAsia="zh-CN"/>
        </w:rPr>
        <w:t>通贵乡人民政府</w:t>
      </w:r>
    </w:p>
    <w:p>
      <w:pPr>
        <w:widowControl w:val="0"/>
        <w:spacing w:after="0" w:line="360" w:lineRule="auto"/>
        <w:ind w:firstLine="840" w:firstLineChars="300"/>
        <w:jc w:val="both"/>
        <w:rPr>
          <w:rFonts w:ascii="黑体" w:hAnsi="黑体" w:eastAsia="黑体"/>
          <w:bCs/>
          <w:color w:val="000000"/>
          <w:kern w:val="2"/>
          <w:sz w:val="28"/>
          <w:szCs w:val="28"/>
          <w:lang w:eastAsia="zh-CN"/>
        </w:rPr>
      </w:pPr>
      <w:r>
        <w:rPr>
          <w:rFonts w:hint="eastAsia" w:ascii="黑体" w:hAnsi="黑体" w:eastAsia="黑体"/>
          <w:bCs/>
          <w:color w:val="000000"/>
          <w:kern w:val="2"/>
          <w:sz w:val="28"/>
          <w:szCs w:val="28"/>
          <w:lang w:eastAsia="zh-CN"/>
        </w:rPr>
        <w:t>委托单位：银川市兴庆区财政局</w:t>
      </w:r>
    </w:p>
    <w:p>
      <w:pPr>
        <w:widowControl w:val="0"/>
        <w:spacing w:after="0" w:line="360" w:lineRule="auto"/>
        <w:ind w:firstLine="840" w:firstLineChars="300"/>
        <w:jc w:val="both"/>
        <w:rPr>
          <w:rFonts w:ascii="黑体" w:hAnsi="黑体" w:eastAsia="黑体"/>
          <w:bCs/>
          <w:color w:val="000000"/>
          <w:kern w:val="2"/>
          <w:sz w:val="28"/>
          <w:szCs w:val="28"/>
          <w:lang w:eastAsia="zh-CN"/>
        </w:rPr>
      </w:pPr>
      <w:r>
        <w:rPr>
          <w:rFonts w:hint="eastAsia" w:ascii="黑体" w:hAnsi="黑体" w:eastAsia="黑体"/>
          <w:bCs/>
          <w:color w:val="000000"/>
          <w:kern w:val="2"/>
          <w:sz w:val="28"/>
          <w:szCs w:val="28"/>
          <w:lang w:eastAsia="zh-CN"/>
        </w:rPr>
        <w:t>评价机构：宁夏沪尚智评管理咨询有限公司</w:t>
      </w:r>
    </w:p>
    <w:p>
      <w:pPr>
        <w:widowControl w:val="0"/>
        <w:spacing w:before="120" w:after="120" w:line="360" w:lineRule="auto"/>
        <w:jc w:val="both"/>
        <w:rPr>
          <w:rFonts w:ascii="黑体" w:hAnsi="黑体" w:eastAsia="黑体"/>
          <w:b/>
          <w:color w:val="000000"/>
          <w:kern w:val="2"/>
          <w:sz w:val="28"/>
          <w:szCs w:val="28"/>
          <w:lang w:eastAsia="zh-CN"/>
        </w:rPr>
      </w:pPr>
    </w:p>
    <w:p>
      <w:pPr>
        <w:widowControl w:val="0"/>
        <w:spacing w:before="120" w:after="120" w:line="360" w:lineRule="auto"/>
        <w:jc w:val="both"/>
        <w:rPr>
          <w:rFonts w:ascii="黑体" w:hAnsi="黑体" w:eastAsia="黑体"/>
          <w:b/>
          <w:color w:val="000000"/>
          <w:kern w:val="2"/>
          <w:sz w:val="28"/>
          <w:szCs w:val="28"/>
          <w:lang w:eastAsia="zh-CN"/>
        </w:rPr>
      </w:pPr>
    </w:p>
    <w:p>
      <w:pPr>
        <w:widowControl w:val="0"/>
        <w:spacing w:before="120" w:after="120" w:line="480" w:lineRule="auto"/>
        <w:ind w:firstLine="4216" w:firstLineChars="1500"/>
        <w:jc w:val="both"/>
        <w:rPr>
          <w:rFonts w:ascii="黑体" w:hAnsi="黑体" w:eastAsia="黑体"/>
          <w:b/>
          <w:sz w:val="28"/>
          <w:szCs w:val="28"/>
          <w:lang w:eastAsia="zh-CN"/>
        </w:rPr>
        <w:sectPr>
          <w:headerReference r:id="rId5" w:type="default"/>
          <w:footerReference r:id="rId6" w:type="default"/>
          <w:pgSz w:w="11907" w:h="16840"/>
          <w:pgMar w:top="1304" w:right="1701" w:bottom="850" w:left="1701" w:header="851" w:footer="992" w:gutter="0"/>
          <w:cols w:space="720" w:num="1"/>
          <w:docGrid w:linePitch="312" w:charSpace="0"/>
        </w:sectPr>
      </w:pPr>
      <w:r>
        <w:rPr>
          <w:rFonts w:hint="eastAsia" w:ascii="黑体" w:hAnsi="黑体" w:eastAsia="黑体"/>
          <w:b/>
          <w:sz w:val="28"/>
          <w:szCs w:val="28"/>
          <w:lang w:eastAsia="zh-CN"/>
        </w:rPr>
        <w:t>二〇二</w:t>
      </w:r>
      <w:r>
        <w:rPr>
          <w:rFonts w:hint="eastAsia" w:ascii="黑体" w:hAnsi="黑体" w:eastAsia="黑体"/>
          <w:b/>
          <w:sz w:val="28"/>
          <w:szCs w:val="28"/>
          <w:lang w:val="en-US" w:eastAsia="zh-CN"/>
        </w:rPr>
        <w:t>二</w:t>
      </w:r>
      <w:r>
        <w:rPr>
          <w:rFonts w:hint="eastAsia" w:ascii="黑体" w:hAnsi="黑体" w:eastAsia="黑体"/>
          <w:b/>
          <w:sz w:val="28"/>
          <w:szCs w:val="28"/>
          <w:lang w:eastAsia="zh-CN"/>
        </w:rPr>
        <w:t>年</w:t>
      </w:r>
      <w:r>
        <w:rPr>
          <w:rFonts w:hint="eastAsia" w:ascii="黑体" w:hAnsi="黑体" w:eastAsia="黑体"/>
          <w:b/>
          <w:sz w:val="28"/>
          <w:szCs w:val="28"/>
          <w:lang w:val="en-US" w:eastAsia="zh-CN"/>
        </w:rPr>
        <w:t>十二</w:t>
      </w:r>
      <w:r>
        <w:rPr>
          <w:rFonts w:hint="eastAsia" w:ascii="黑体" w:hAnsi="黑体" w:eastAsia="黑体"/>
          <w:b/>
          <w:sz w:val="28"/>
          <w:szCs w:val="28"/>
          <w:lang w:eastAsia="zh-CN"/>
        </w:rPr>
        <w:t>月</w:t>
      </w:r>
    </w:p>
    <w:p>
      <w:pPr>
        <w:pStyle w:val="12"/>
        <w:widowControl w:val="0"/>
        <w:tabs>
          <w:tab w:val="right" w:leader="dot" w:pos="8306"/>
          <w:tab w:val="clear" w:pos="8302"/>
        </w:tabs>
        <w:spacing w:after="0"/>
        <w:jc w:val="center"/>
        <w:rPr>
          <w:rFonts w:cs="黑体"/>
          <w:color w:val="000000"/>
          <w:kern w:val="2"/>
          <w:sz w:val="36"/>
          <w:szCs w:val="36"/>
          <w:lang w:val="zh-CN" w:eastAsia="zh-CN"/>
        </w:rPr>
      </w:pPr>
      <w:bookmarkStart w:id="2" w:name="_Toc15902"/>
      <w:bookmarkStart w:id="3" w:name="_Toc20439"/>
      <w:bookmarkStart w:id="4" w:name="_Toc24230"/>
      <w:bookmarkStart w:id="5" w:name="_Toc15139"/>
      <w:bookmarkStart w:id="6" w:name="_Toc4209"/>
      <w:bookmarkStart w:id="7" w:name="_Toc15207"/>
      <w:bookmarkStart w:id="8" w:name="_Toc29274"/>
      <w:bookmarkStart w:id="9" w:name="_Toc100"/>
      <w:bookmarkStart w:id="10" w:name="_Toc14916"/>
      <w:bookmarkStart w:id="11" w:name="_Toc10868"/>
      <w:bookmarkStart w:id="12" w:name="_Toc6421"/>
      <w:bookmarkStart w:id="13" w:name="_Toc29311"/>
      <w:bookmarkStart w:id="14" w:name="_Toc16142"/>
      <w:bookmarkStart w:id="15" w:name="_Toc31008"/>
      <w:bookmarkStart w:id="16" w:name="_Toc18269"/>
      <w:bookmarkStart w:id="17" w:name="_Toc31217"/>
      <w:bookmarkStart w:id="18" w:name="_Toc5219"/>
      <w:bookmarkStart w:id="19" w:name="_Toc21961"/>
      <w:bookmarkStart w:id="20" w:name="_Toc5066"/>
      <w:bookmarkStart w:id="21" w:name="_Toc24707"/>
      <w:bookmarkStart w:id="22" w:name="_Toc20216"/>
      <w:bookmarkStart w:id="23" w:name="_Toc4542"/>
      <w:bookmarkStart w:id="24" w:name="_Toc1584"/>
      <w:bookmarkStart w:id="25" w:name="_Toc14550"/>
      <w:bookmarkStart w:id="26" w:name="_Toc31658"/>
      <w:bookmarkStart w:id="27" w:name="_Toc19876"/>
      <w:bookmarkStart w:id="28" w:name="_Toc13162"/>
      <w:bookmarkStart w:id="29" w:name="_Toc7124"/>
      <w:bookmarkStart w:id="30" w:name="_Toc25293"/>
      <w:bookmarkStart w:id="31" w:name="_Toc15285"/>
      <w:bookmarkStart w:id="32" w:name="_Toc14687"/>
      <w:r>
        <w:rPr>
          <w:rFonts w:hint="eastAsia" w:cs="黑体"/>
          <w:color w:val="000000"/>
          <w:kern w:val="2"/>
          <w:sz w:val="36"/>
          <w:szCs w:val="36"/>
          <w:lang w:val="zh-CN" w:eastAsia="zh-CN"/>
        </w:rPr>
        <w:t>目录</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1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360" w:lineRule="auto"/>
        <w:textAlignment w:val="auto"/>
        <w:rPr>
          <w:rFonts w:cs="黑体"/>
          <w:kern w:val="2"/>
          <w:lang w:val="zh-CN" w:eastAsia="zh-CN"/>
        </w:rPr>
      </w:pPr>
      <w:r>
        <w:rPr>
          <w:rFonts w:hint="eastAsia" w:cs="黑体"/>
        </w:rPr>
        <w:fldChar w:fldCharType="begin"/>
      </w:r>
      <w:r>
        <w:rPr>
          <w:rFonts w:hint="eastAsia" w:cs="黑体"/>
        </w:rPr>
        <w:instrText xml:space="preserve">TOC \o "1-3" \h \u </w:instrText>
      </w:r>
      <w:r>
        <w:rPr>
          <w:rFonts w:hint="eastAsia" w:cs="黑体"/>
        </w:rPr>
        <w:fldChar w:fldCharType="separate"/>
      </w:r>
      <w:r>
        <w:fldChar w:fldCharType="begin"/>
      </w:r>
      <w:r>
        <w:instrText xml:space="preserve"> HYPERLINK \l "_Toc12525" </w:instrText>
      </w:r>
      <w:r>
        <w:fldChar w:fldCharType="separate"/>
      </w:r>
      <w:r>
        <w:rPr>
          <w:rFonts w:hint="eastAsia" w:cs="黑体"/>
          <w:kern w:val="2"/>
          <w:lang w:val="zh-CN" w:eastAsia="zh-CN"/>
        </w:rPr>
        <w:t>摘要</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_Toc12525 \h </w:instrText>
      </w:r>
      <w:r>
        <w:rPr>
          <w:rFonts w:hint="eastAsia" w:cs="黑体"/>
          <w:kern w:val="2"/>
          <w:lang w:val="zh-CN" w:eastAsia="zh-CN"/>
        </w:rPr>
        <w:fldChar w:fldCharType="separate"/>
      </w:r>
      <w:r>
        <w:rPr>
          <w:rFonts w:hint="eastAsia" w:cs="黑体"/>
          <w:kern w:val="2"/>
          <w:lang w:val="zh-CN" w:eastAsia="zh-CN"/>
        </w:rPr>
        <w:t>1</w:t>
      </w:r>
      <w:r>
        <w:rPr>
          <w:rFonts w:hint="eastAsia" w:cs="黑体"/>
          <w:kern w:val="2"/>
          <w:lang w:val="zh-CN" w:eastAsia="zh-CN"/>
        </w:rPr>
        <w:fldChar w:fldCharType="end"/>
      </w:r>
      <w:r>
        <w:rPr>
          <w:rFonts w:hint="eastAsia" w:cs="黑体"/>
          <w:kern w:val="2"/>
          <w:lang w:val="zh-CN" w:eastAsia="zh-CN"/>
        </w:rPr>
        <w:fldChar w:fldCharType="end"/>
      </w:r>
    </w:p>
    <w:p>
      <w:pPr>
        <w:pStyle w:val="12"/>
        <w:widowControl w:val="0"/>
        <w:tabs>
          <w:tab w:val="right" w:leader="dot" w:pos="8306"/>
          <w:tab w:val="clear" w:pos="8302"/>
        </w:tabs>
        <w:spacing w:after="0" w:line="360" w:lineRule="auto"/>
        <w:rPr>
          <w:rFonts w:cs="黑体"/>
          <w:kern w:val="2"/>
          <w:lang w:val="zh-CN" w:eastAsia="zh-CN"/>
        </w:rPr>
      </w:pPr>
      <w:r>
        <w:fldChar w:fldCharType="begin"/>
      </w:r>
      <w:r>
        <w:instrText xml:space="preserve"> HYPERLINK \l "_Toc4851" </w:instrText>
      </w:r>
      <w:r>
        <w:fldChar w:fldCharType="separate"/>
      </w:r>
      <w:r>
        <w:rPr>
          <w:rFonts w:hint="eastAsia" w:cs="黑体"/>
          <w:kern w:val="2"/>
          <w:lang w:val="zh-CN" w:eastAsia="zh-CN"/>
        </w:rPr>
        <w:t>一、项目基本情况</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_Toc4851 \h </w:instrText>
      </w:r>
      <w:r>
        <w:rPr>
          <w:rFonts w:hint="eastAsia" w:cs="黑体"/>
          <w:kern w:val="2"/>
          <w:lang w:val="zh-CN" w:eastAsia="zh-CN"/>
        </w:rPr>
        <w:fldChar w:fldCharType="separate"/>
      </w:r>
      <w:r>
        <w:rPr>
          <w:rFonts w:hint="eastAsia" w:cs="黑体"/>
          <w:kern w:val="2"/>
          <w:lang w:val="zh-CN" w:eastAsia="zh-CN"/>
        </w:rPr>
        <w:t>3</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"_Toc17681" </w:instrText>
      </w:r>
      <w:r>
        <w:fldChar w:fldCharType="separate"/>
      </w:r>
      <w:r>
        <w:rPr>
          <w:rFonts w:hint="eastAsia" w:ascii="黑体" w:eastAsia="黑体" w:cs="黑体"/>
          <w:kern w:val="2"/>
          <w:lang w:val="zh-CN" w:eastAsia="zh-CN"/>
        </w:rPr>
        <w:t>（一）项目概况</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_Toc17681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3</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"_Toc4114" </w:instrText>
      </w:r>
      <w:r>
        <w:fldChar w:fldCharType="separate"/>
      </w:r>
      <w:r>
        <w:rPr>
          <w:rFonts w:hint="eastAsia" w:ascii="黑体" w:eastAsia="黑体" w:cs="黑体"/>
          <w:kern w:val="2"/>
          <w:lang w:val="zh-CN" w:eastAsia="zh-CN"/>
        </w:rPr>
        <w:t>（二）项目绩效目标</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_Toc4114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4</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2"/>
        <w:widowControl w:val="0"/>
        <w:tabs>
          <w:tab w:val="right" w:leader="dot" w:pos="8306"/>
          <w:tab w:val="clear" w:pos="8302"/>
        </w:tabs>
        <w:spacing w:after="0" w:line="360" w:lineRule="auto"/>
        <w:rPr>
          <w:rFonts w:cs="黑体"/>
          <w:kern w:val="2"/>
          <w:lang w:val="zh-CN" w:eastAsia="zh-CN"/>
        </w:rPr>
      </w:pPr>
      <w:r>
        <w:fldChar w:fldCharType="begin"/>
      </w:r>
      <w:r>
        <w:instrText xml:space="preserve"> HYPERLINK \l "_Toc3376" </w:instrText>
      </w:r>
      <w:r>
        <w:fldChar w:fldCharType="separate"/>
      </w:r>
      <w:r>
        <w:rPr>
          <w:rFonts w:hint="eastAsia" w:cs="黑体"/>
          <w:kern w:val="2"/>
          <w:lang w:val="zh-CN" w:eastAsia="zh-CN"/>
        </w:rPr>
        <w:t>二、项目绩效评价工作开展情况</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_Toc3376 \h </w:instrText>
      </w:r>
      <w:r>
        <w:rPr>
          <w:rFonts w:hint="eastAsia" w:cs="黑体"/>
          <w:kern w:val="2"/>
          <w:lang w:val="zh-CN" w:eastAsia="zh-CN"/>
        </w:rPr>
        <w:fldChar w:fldCharType="separate"/>
      </w:r>
      <w:r>
        <w:rPr>
          <w:rFonts w:hint="eastAsia" w:cs="黑体"/>
          <w:kern w:val="2"/>
          <w:lang w:val="zh-CN" w:eastAsia="zh-CN"/>
        </w:rPr>
        <w:t>5</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"_Toc13542" </w:instrText>
      </w:r>
      <w:r>
        <w:fldChar w:fldCharType="separate"/>
      </w:r>
      <w:r>
        <w:rPr>
          <w:rFonts w:hint="eastAsia" w:ascii="黑体" w:eastAsia="黑体" w:cs="黑体"/>
          <w:kern w:val="2"/>
          <w:lang w:val="zh-CN" w:eastAsia="zh-CN"/>
        </w:rPr>
        <w:t>（一）绩效评价目的、对象和范围</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_Toc13542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5</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"_Toc29760" </w:instrText>
      </w:r>
      <w:r>
        <w:fldChar w:fldCharType="separate"/>
      </w:r>
      <w:r>
        <w:rPr>
          <w:rFonts w:hint="eastAsia" w:ascii="黑体" w:eastAsia="黑体" w:cs="黑体"/>
          <w:kern w:val="2"/>
          <w:lang w:val="zh-CN" w:eastAsia="zh-CN"/>
        </w:rPr>
        <w:t>（二）绩效评价原则、评价指标体系、评价方法、评分标准</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_Toc29760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6</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"_Toc6061" </w:instrText>
      </w:r>
      <w:r>
        <w:fldChar w:fldCharType="separate"/>
      </w:r>
      <w:r>
        <w:rPr>
          <w:rFonts w:hint="eastAsia" w:ascii="黑体" w:eastAsia="黑体" w:cs="黑体"/>
          <w:kern w:val="2"/>
          <w:lang w:val="zh-CN" w:eastAsia="zh-CN"/>
        </w:rPr>
        <w:t>（三）绩效评价工作方案制定过程</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_Toc6061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9</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360" w:lineRule="auto"/>
        <w:textAlignment w:val="auto"/>
      </w:pPr>
      <w:r>
        <w:fldChar w:fldCharType="begin"/>
      </w:r>
      <w:r>
        <w:instrText xml:space="preserve"> HYPERLINK \l "_Toc14889" </w:instrText>
      </w:r>
      <w:r>
        <w:fldChar w:fldCharType="separate"/>
      </w:r>
      <w:r>
        <w:rPr>
          <w:rFonts w:hint="eastAsia" w:cs="黑体"/>
          <w:kern w:val="2"/>
          <w:lang w:eastAsia="zh-CN"/>
        </w:rPr>
        <w:t>三、综合评价情况及评价结论</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_Toc14889 \h </w:instrText>
      </w:r>
      <w:r>
        <w:rPr>
          <w:rFonts w:hint="eastAsia" w:cs="黑体"/>
          <w:kern w:val="2"/>
          <w:lang w:val="zh-CN" w:eastAsia="zh-CN"/>
        </w:rPr>
        <w:fldChar w:fldCharType="separate"/>
      </w:r>
      <w:r>
        <w:rPr>
          <w:rFonts w:hint="eastAsia" w:cs="黑体"/>
          <w:kern w:val="2"/>
          <w:lang w:val="zh-CN" w:eastAsia="zh-CN"/>
        </w:rPr>
        <w:t>11</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"_Toc22755" </w:instrText>
      </w:r>
      <w:r>
        <w:fldChar w:fldCharType="separate"/>
      </w:r>
      <w:r>
        <w:rPr>
          <w:rFonts w:hint="eastAsia" w:ascii="黑体" w:eastAsia="黑体" w:cs="黑体"/>
          <w:kern w:val="2"/>
          <w:lang w:val="zh-CN" w:eastAsia="zh-CN"/>
        </w:rPr>
        <w:t>（一）综合评价</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_Toc22755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11</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"_Toc9430" </w:instrText>
      </w:r>
      <w:r>
        <w:fldChar w:fldCharType="separate"/>
      </w:r>
      <w:r>
        <w:rPr>
          <w:rFonts w:hint="eastAsia" w:ascii="黑体" w:eastAsia="黑体" w:cs="黑体"/>
          <w:kern w:val="2"/>
          <w:lang w:val="zh-CN" w:eastAsia="zh-CN"/>
        </w:rPr>
        <w:t>（二）评价结论</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_Toc9430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11</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2"/>
        <w:widowControl w:val="0"/>
        <w:tabs>
          <w:tab w:val="right" w:leader="dot" w:pos="8306"/>
          <w:tab w:val="clear" w:pos="8302"/>
        </w:tabs>
        <w:spacing w:after="0" w:line="360" w:lineRule="auto"/>
        <w:rPr>
          <w:rFonts w:cs="黑体"/>
          <w:kern w:val="2"/>
          <w:lang w:val="zh-CN" w:eastAsia="zh-CN"/>
        </w:rPr>
      </w:pPr>
      <w:r>
        <w:fldChar w:fldCharType="begin"/>
      </w:r>
      <w:r>
        <w:instrText xml:space="preserve"> HYPERLINK \l "_Toc22660" </w:instrText>
      </w:r>
      <w:r>
        <w:fldChar w:fldCharType="separate"/>
      </w:r>
      <w:r>
        <w:rPr>
          <w:rFonts w:hint="eastAsia" w:cs="黑体"/>
          <w:kern w:val="2"/>
          <w:lang w:val="zh-CN" w:eastAsia="zh-CN"/>
        </w:rPr>
        <w:t>四、绩效评价指标分析</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_Toc22660 \h </w:instrText>
      </w:r>
      <w:r>
        <w:rPr>
          <w:rFonts w:hint="eastAsia" w:cs="黑体"/>
          <w:kern w:val="2"/>
          <w:lang w:val="zh-CN" w:eastAsia="zh-CN"/>
        </w:rPr>
        <w:fldChar w:fldCharType="separate"/>
      </w:r>
      <w:r>
        <w:rPr>
          <w:rFonts w:hint="eastAsia" w:cs="黑体"/>
          <w:kern w:val="2"/>
          <w:lang w:val="zh-CN" w:eastAsia="zh-CN"/>
        </w:rPr>
        <w:t>11</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"_Toc1815" </w:instrText>
      </w:r>
      <w:r>
        <w:fldChar w:fldCharType="separate"/>
      </w:r>
      <w:r>
        <w:rPr>
          <w:rFonts w:hint="eastAsia" w:ascii="黑体" w:eastAsia="黑体" w:cs="黑体"/>
          <w:kern w:val="2"/>
          <w:lang w:val="zh-CN" w:eastAsia="zh-CN"/>
        </w:rPr>
        <w:t>（一）项目决策</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_Toc1815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12</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"_Toc11768" </w:instrText>
      </w:r>
      <w:r>
        <w:fldChar w:fldCharType="separate"/>
      </w:r>
      <w:r>
        <w:rPr>
          <w:rFonts w:hint="eastAsia" w:ascii="黑体" w:eastAsia="黑体" w:cs="黑体"/>
          <w:kern w:val="2"/>
          <w:lang w:val="zh-CN" w:eastAsia="zh-CN"/>
        </w:rPr>
        <w:t>（二）项目管理</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_Toc11768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14</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"_Toc13115" </w:instrText>
      </w:r>
      <w:r>
        <w:fldChar w:fldCharType="separate"/>
      </w:r>
      <w:r>
        <w:rPr>
          <w:rFonts w:hint="eastAsia" w:ascii="黑体" w:eastAsia="黑体" w:cs="黑体"/>
          <w:kern w:val="2"/>
          <w:lang w:val="zh-CN" w:eastAsia="zh-CN"/>
        </w:rPr>
        <w:t>（三）项目产出</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_Toc13115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16</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"_Toc16559" </w:instrText>
      </w:r>
      <w:r>
        <w:fldChar w:fldCharType="separate"/>
      </w:r>
      <w:r>
        <w:rPr>
          <w:rFonts w:hint="eastAsia" w:ascii="黑体" w:eastAsia="黑体" w:cs="黑体"/>
          <w:kern w:val="2"/>
          <w:lang w:val="zh-CN" w:eastAsia="zh-CN"/>
        </w:rPr>
        <w:t>（四）项目效益</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_Toc16559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18</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2"/>
        <w:widowControl w:val="0"/>
        <w:tabs>
          <w:tab w:val="right" w:leader="dot" w:pos="8306"/>
          <w:tab w:val="clear" w:pos="8302"/>
        </w:tabs>
        <w:spacing w:after="0" w:line="360" w:lineRule="auto"/>
        <w:rPr>
          <w:rFonts w:cs="黑体"/>
          <w:kern w:val="2"/>
          <w:lang w:val="zh-CN" w:eastAsia="zh-CN"/>
        </w:rPr>
      </w:pPr>
      <w:r>
        <w:fldChar w:fldCharType="begin"/>
      </w:r>
      <w:r>
        <w:instrText xml:space="preserve"> HYPERLINK \l "_Toc24520" </w:instrText>
      </w:r>
      <w:r>
        <w:fldChar w:fldCharType="separate"/>
      </w:r>
      <w:r>
        <w:rPr>
          <w:rFonts w:hint="eastAsia" w:cs="黑体"/>
          <w:kern w:val="2"/>
          <w:lang w:eastAsia="zh-CN"/>
        </w:rPr>
        <w:t>五、主要经验及做法、存在的问题及原因分析</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_Toc24520 \h </w:instrText>
      </w:r>
      <w:r>
        <w:rPr>
          <w:rFonts w:hint="eastAsia" w:cs="黑体"/>
          <w:kern w:val="2"/>
          <w:lang w:val="zh-CN" w:eastAsia="zh-CN"/>
        </w:rPr>
        <w:fldChar w:fldCharType="separate"/>
      </w:r>
      <w:r>
        <w:rPr>
          <w:rFonts w:hint="eastAsia" w:cs="黑体"/>
          <w:kern w:val="2"/>
          <w:lang w:val="zh-CN" w:eastAsia="zh-CN"/>
        </w:rPr>
        <w:t>20</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"_Toc3724" </w:instrText>
      </w:r>
      <w:r>
        <w:fldChar w:fldCharType="separate"/>
      </w:r>
      <w:r>
        <w:rPr>
          <w:rFonts w:hint="eastAsia" w:ascii="黑体" w:eastAsia="黑体" w:cs="黑体"/>
          <w:kern w:val="2"/>
          <w:lang w:val="zh-CN" w:eastAsia="zh-CN"/>
        </w:rPr>
        <w:t>（一）存在的问题</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_Toc3724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20</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"_Toc30406" </w:instrText>
      </w:r>
      <w:r>
        <w:fldChar w:fldCharType="separate"/>
      </w:r>
      <w:r>
        <w:rPr>
          <w:rFonts w:hint="eastAsia" w:ascii="黑体" w:eastAsia="黑体" w:cs="黑体"/>
          <w:kern w:val="2"/>
          <w:lang w:val="zh-CN" w:eastAsia="zh-CN"/>
        </w:rPr>
        <w:t>（二）相关建议</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_Toc30406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21</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2"/>
        <w:widowControl w:val="0"/>
        <w:tabs>
          <w:tab w:val="right" w:leader="dot" w:pos="8306"/>
          <w:tab w:val="clear" w:pos="8302"/>
        </w:tabs>
        <w:spacing w:after="0" w:line="360" w:lineRule="auto"/>
        <w:rPr>
          <w:rFonts w:cs="黑体"/>
          <w:kern w:val="2"/>
          <w:lang w:val="zh-CN" w:eastAsia="zh-CN"/>
        </w:rPr>
      </w:pPr>
      <w:r>
        <w:fldChar w:fldCharType="begin"/>
      </w:r>
      <w:r>
        <w:instrText xml:space="preserve"> HYPERLINK \l "_Toc22137" </w:instrText>
      </w:r>
      <w:r>
        <w:fldChar w:fldCharType="separate"/>
      </w:r>
      <w:r>
        <w:rPr>
          <w:rFonts w:hint="eastAsia" w:cs="黑体"/>
          <w:kern w:val="2"/>
          <w:lang w:val="zh-CN" w:eastAsia="zh-CN"/>
        </w:rPr>
        <w:t>六、附件</w:t>
      </w:r>
      <w:r>
        <w:rPr>
          <w:rFonts w:hint="eastAsia" w:cs="黑体"/>
          <w:kern w:val="2"/>
          <w:lang w:val="zh-CN" w:eastAsia="zh-CN"/>
        </w:rPr>
        <w:tab/>
      </w:r>
      <w:r>
        <w:rPr>
          <w:rFonts w:hint="eastAsia" w:cs="黑体"/>
          <w:kern w:val="2"/>
          <w:lang w:val="zh-CN" w:eastAsia="zh-CN"/>
        </w:rPr>
        <w:fldChar w:fldCharType="begin"/>
      </w:r>
      <w:r>
        <w:rPr>
          <w:rFonts w:hint="eastAsia" w:cs="黑体"/>
          <w:kern w:val="2"/>
          <w:lang w:val="zh-CN" w:eastAsia="zh-CN"/>
        </w:rPr>
        <w:instrText xml:space="preserve"> PAGEREF _Toc22137 \h </w:instrText>
      </w:r>
      <w:r>
        <w:rPr>
          <w:rFonts w:hint="eastAsia" w:cs="黑体"/>
          <w:kern w:val="2"/>
          <w:lang w:val="zh-CN" w:eastAsia="zh-CN"/>
        </w:rPr>
        <w:fldChar w:fldCharType="separate"/>
      </w:r>
      <w:r>
        <w:rPr>
          <w:rFonts w:hint="eastAsia" w:cs="黑体"/>
          <w:kern w:val="2"/>
          <w:lang w:val="zh-CN" w:eastAsia="zh-CN"/>
        </w:rPr>
        <w:t>1</w:t>
      </w:r>
      <w:r>
        <w:rPr>
          <w:rFonts w:hint="eastAsia" w:cs="黑体"/>
          <w:kern w:val="2"/>
          <w:lang w:val="zh-CN" w:eastAsia="zh-CN"/>
        </w:rPr>
        <w:fldChar w:fldCharType="end"/>
      </w:r>
      <w:r>
        <w:rPr>
          <w:rFonts w:hint="eastAsia"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"_Toc19562" </w:instrText>
      </w:r>
      <w:r>
        <w:fldChar w:fldCharType="separate"/>
      </w:r>
      <w:r>
        <w:rPr>
          <w:rFonts w:hint="eastAsia" w:ascii="黑体" w:eastAsia="黑体" w:cs="黑体"/>
          <w:kern w:val="2"/>
          <w:lang w:eastAsia="zh-CN"/>
        </w:rPr>
        <w:t>附件1：项目绩效评价指标评分表</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_Toc19562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"_Toc20711" </w:instrText>
      </w:r>
      <w:r>
        <w:fldChar w:fldCharType="separate"/>
      </w:r>
      <w:r>
        <w:rPr>
          <w:rFonts w:hint="eastAsia" w:ascii="黑体" w:eastAsia="黑体" w:cs="黑体"/>
          <w:kern w:val="2"/>
          <w:lang w:eastAsia="zh-CN"/>
        </w:rPr>
        <w:t>附件2：满意度问卷调查报告</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_Toc20711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"_Toc24624" </w:instrText>
      </w:r>
      <w:r>
        <w:fldChar w:fldCharType="separate"/>
      </w:r>
      <w:r>
        <w:rPr>
          <w:rFonts w:hint="eastAsia" w:ascii="黑体" w:eastAsia="黑体" w:cs="黑体"/>
          <w:kern w:val="2"/>
          <w:lang w:eastAsia="zh-CN"/>
        </w:rPr>
        <w:t>附件3：访谈</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_Toc24624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7</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widowControl w:val="0"/>
        <w:tabs>
          <w:tab w:val="right" w:leader="dot" w:pos="8306"/>
          <w:tab w:val="clear" w:pos="8296"/>
        </w:tabs>
        <w:spacing w:after="0" w:line="360" w:lineRule="auto"/>
        <w:jc w:val="both"/>
        <w:rPr>
          <w:rFonts w:ascii="黑体" w:eastAsia="黑体" w:cs="黑体"/>
          <w:kern w:val="2"/>
          <w:lang w:val="zh-CN" w:eastAsia="zh-CN"/>
        </w:rPr>
      </w:pPr>
      <w:r>
        <w:fldChar w:fldCharType="begin"/>
      </w:r>
      <w:r>
        <w:instrText xml:space="preserve"> HYPERLINK \l "_Toc11527" </w:instrText>
      </w:r>
      <w:r>
        <w:fldChar w:fldCharType="separate"/>
      </w:r>
      <w:r>
        <w:rPr>
          <w:rFonts w:hint="eastAsia" w:ascii="黑体" w:eastAsia="黑体" w:cs="黑体"/>
          <w:kern w:val="2"/>
          <w:lang w:eastAsia="zh-CN"/>
        </w:rPr>
        <w:t>附件4：现场照片</w:t>
      </w:r>
      <w:r>
        <w:rPr>
          <w:rFonts w:hint="eastAsia" w:ascii="黑体" w:eastAsia="黑体" w:cs="黑体"/>
          <w:kern w:val="2"/>
          <w:lang w:val="zh-CN" w:eastAsia="zh-CN"/>
        </w:rPr>
        <w:tab/>
      </w:r>
      <w:r>
        <w:rPr>
          <w:rFonts w:hint="eastAsia" w:ascii="黑体" w:eastAsia="黑体" w:cs="黑体"/>
          <w:kern w:val="2"/>
          <w:lang w:val="zh-CN" w:eastAsia="zh-CN"/>
        </w:rPr>
        <w:fldChar w:fldCharType="begin"/>
      </w:r>
      <w:r>
        <w:rPr>
          <w:rFonts w:hint="eastAsia" w:ascii="黑体" w:eastAsia="黑体" w:cs="黑体"/>
          <w:kern w:val="2"/>
          <w:lang w:val="zh-CN" w:eastAsia="zh-CN"/>
        </w:rPr>
        <w:instrText xml:space="preserve"> PAGEREF _Toc11527 \h </w:instrText>
      </w:r>
      <w:r>
        <w:rPr>
          <w:rFonts w:hint="eastAsia" w:ascii="黑体" w:eastAsia="黑体" w:cs="黑体"/>
          <w:kern w:val="2"/>
          <w:lang w:val="zh-CN" w:eastAsia="zh-CN"/>
        </w:rPr>
        <w:fldChar w:fldCharType="separate"/>
      </w:r>
      <w:r>
        <w:rPr>
          <w:rFonts w:hint="eastAsia" w:ascii="黑体" w:eastAsia="黑体" w:cs="黑体"/>
          <w:kern w:val="2"/>
          <w:lang w:val="zh-CN" w:eastAsia="zh-CN"/>
        </w:rPr>
        <w:t>10</w:t>
      </w:r>
      <w:r>
        <w:rPr>
          <w:rFonts w:hint="eastAsia" w:ascii="黑体" w:eastAsia="黑体" w:cs="黑体"/>
          <w:kern w:val="2"/>
          <w:lang w:val="zh-CN" w:eastAsia="zh-CN"/>
        </w:rPr>
        <w:fldChar w:fldCharType="end"/>
      </w:r>
      <w:r>
        <w:rPr>
          <w:rFonts w:hint="eastAsia" w:ascii="黑体" w:eastAsia="黑体" w:cs="黑体"/>
          <w:kern w:val="2"/>
          <w:lang w:val="zh-CN" w:eastAsia="zh-CN"/>
        </w:rPr>
        <w:fldChar w:fldCharType="end"/>
      </w:r>
    </w:p>
    <w:p>
      <w:pPr>
        <w:pStyle w:val="14"/>
        <w:tabs>
          <w:tab w:val="right" w:leader="dot" w:pos="8306"/>
          <w:tab w:val="clear" w:pos="8296"/>
        </w:tabs>
        <w:spacing w:after="0" w:line="360" w:lineRule="auto"/>
        <w:sectPr>
          <w:footerReference r:id="rId7" w:type="default"/>
          <w:pgSz w:w="11906" w:h="16838"/>
          <w:pgMar w:top="1440" w:right="1800" w:bottom="1440" w:left="1800" w:header="851" w:footer="992" w:gutter="0"/>
          <w:pgNumType w:start="1"/>
          <w:cols w:space="425" w:num="1"/>
          <w:docGrid w:type="lines" w:linePitch="312" w:charSpace="0"/>
        </w:sectPr>
      </w:pPr>
      <w:r>
        <w:rPr>
          <w:rFonts w:hint="eastAsia" w:ascii="黑体" w:eastAsia="黑体" w:cs="黑体"/>
        </w:rPr>
        <w:fldChar w:fldCharType="end"/>
      </w:r>
    </w:p>
    <w:p>
      <w:pPr>
        <w:jc w:val="center"/>
        <w:outlineLvl w:val="0"/>
        <w:rPr>
          <w:rFonts w:ascii="仿宋" w:hAnsi="仿宋" w:eastAsia="仿宋" w:cs="仿宋"/>
          <w:b/>
          <w:bCs/>
          <w:color w:val="000000"/>
          <w:kern w:val="44"/>
          <w:sz w:val="44"/>
          <w:szCs w:val="44"/>
          <w:lang w:eastAsia="zh-CN"/>
        </w:rPr>
      </w:pPr>
      <w:bookmarkStart w:id="33" w:name="_Toc30655"/>
      <w:bookmarkStart w:id="34" w:name="_Toc11365881"/>
      <w:bookmarkStart w:id="35" w:name="_Toc11367568"/>
      <w:bookmarkStart w:id="36" w:name="_Toc12525"/>
      <w:bookmarkStart w:id="37" w:name="_Toc28909"/>
      <w:r>
        <w:rPr>
          <w:rFonts w:hint="eastAsia" w:ascii="仿宋" w:hAnsi="仿宋" w:eastAsia="仿宋" w:cs="仿宋"/>
          <w:b/>
          <w:bCs/>
          <w:color w:val="000000"/>
          <w:kern w:val="44"/>
          <w:sz w:val="44"/>
          <w:szCs w:val="44"/>
          <w:lang w:eastAsia="zh-CN"/>
        </w:rPr>
        <w:t>摘要</w:t>
      </w:r>
      <w:bookmarkEnd w:id="33"/>
      <w:bookmarkEnd w:id="34"/>
      <w:bookmarkEnd w:id="35"/>
      <w:bookmarkEnd w:id="36"/>
      <w:bookmarkEnd w:id="37"/>
    </w:p>
    <w:p>
      <w:pPr>
        <w:widowControl w:val="0"/>
        <w:numPr>
          <w:ilvl w:val="0"/>
          <w:numId w:val="1"/>
        </w:numPr>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项目概况</w:t>
      </w:r>
    </w:p>
    <w:p>
      <w:pPr>
        <w:widowControl w:val="0"/>
        <w:tabs>
          <w:tab w:val="left" w:pos="1026"/>
        </w:tabs>
        <w:spacing w:after="0" w:line="360" w:lineRule="auto"/>
        <w:ind w:firstLine="560" w:firstLineChars="200"/>
        <w:jc w:val="both"/>
        <w:rPr>
          <w:lang w:eastAsia="zh-CN"/>
        </w:rPr>
      </w:pPr>
      <w:r>
        <w:rPr>
          <w:rFonts w:hint="eastAsia" w:ascii="仿宋" w:hAnsi="仿宋" w:eastAsia="仿宋" w:cs="仿宋"/>
          <w:kern w:val="2"/>
          <w:sz w:val="28"/>
          <w:szCs w:val="28"/>
          <w:lang w:eastAsia="zh-CN"/>
        </w:rPr>
        <w:t>为深入贯彻落实习近平生态文明思想，打好新时代黄河保卫战，建设“绿色、高端、和谐、宜居”美丽新银川，按照银川市委、市政府工作安排，结合黄河两岸生态廊道和滨河水体净化湿地扩整连通工程规划情况，实施黄河银川段两岸河滩地收回整治生态修复项目，对加强生态保护治理、保障黄河长治久安，逐步恢复黄河银川段两岸自然生态本底具有重要意义。</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二、综合评价结论及评分结果</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（一）综合评价结论</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w:t>
      </w:r>
      <w:r>
        <w:rPr>
          <w:rFonts w:hint="eastAsia" w:ascii="仿宋" w:hAnsi="仿宋" w:eastAsia="仿宋" w:cs="仿宋"/>
          <w:kern w:val="2"/>
          <w:sz w:val="28"/>
          <w:szCs w:val="28"/>
          <w:highlight w:val="none"/>
          <w:lang w:eastAsia="zh-CN"/>
        </w:rPr>
        <w:t>2年黄河银川段两岸河滩地收回整治生态修复项目</w:t>
      </w:r>
      <w:r>
        <w:rPr>
          <w:rFonts w:hint="eastAsia" w:ascii="仿宋" w:hAnsi="仿宋" w:eastAsia="仿宋" w:cs="仿宋"/>
          <w:sz w:val="28"/>
          <w:szCs w:val="28"/>
        </w:rPr>
        <w:t>符合国家政策，实施内容明确，资金使用规范透明</w:t>
      </w:r>
      <w:r>
        <w:rPr>
          <w:rFonts w:hint="eastAsia" w:ascii="仿宋" w:hAnsi="仿宋" w:eastAsia="仿宋" w:cs="仿宋"/>
          <w:sz w:val="28"/>
          <w:szCs w:val="28"/>
          <w:lang w:eastAsia="zh-CN"/>
        </w:rPr>
        <w:t>。</w:t>
      </w:r>
      <w:r>
        <w:rPr>
          <w:rFonts w:hint="eastAsia" w:ascii="仿宋" w:hAnsi="仿宋" w:eastAsia="仿宋" w:cs="仿宋"/>
          <w:kern w:val="2"/>
          <w:sz w:val="28"/>
          <w:szCs w:val="28"/>
          <w:lang w:val="en-US" w:eastAsia="zh-CN"/>
        </w:rPr>
        <w:t>2022年签订了393份流转责任地协议但流转费当年未到账，流转费</w:t>
      </w:r>
      <w:r>
        <w:rPr>
          <w:rFonts w:hint="eastAsia" w:ascii="仿宋" w:hAnsi="仿宋" w:eastAsia="仿宋" w:cs="仿宋"/>
          <w:kern w:val="2"/>
          <w:sz w:val="28"/>
          <w:szCs w:val="28"/>
          <w:lang w:eastAsia="zh-CN"/>
        </w:rPr>
        <w:t>于2023年1月</w:t>
      </w:r>
      <w:r>
        <w:rPr>
          <w:rFonts w:hint="eastAsia" w:ascii="仿宋" w:hAnsi="仿宋" w:eastAsia="仿宋" w:cs="仿宋"/>
          <w:kern w:val="2"/>
          <w:sz w:val="28"/>
          <w:szCs w:val="28"/>
          <w:lang w:val="en-US" w:eastAsia="zh-CN"/>
        </w:rPr>
        <w:t>到账并</w:t>
      </w:r>
      <w:r>
        <w:rPr>
          <w:rFonts w:hint="eastAsia" w:ascii="仿宋" w:hAnsi="仿宋" w:eastAsia="仿宋" w:cs="仿宋"/>
          <w:kern w:val="2"/>
          <w:sz w:val="28"/>
          <w:szCs w:val="28"/>
          <w:lang w:eastAsia="zh-CN"/>
        </w:rPr>
        <w:t>开始进行兑付，项目</w:t>
      </w:r>
      <w:r>
        <w:rPr>
          <w:rFonts w:hint="eastAsia" w:ascii="仿宋" w:hAnsi="仿宋" w:eastAsia="仿宋" w:cs="仿宋_GB2312"/>
          <w:kern w:val="2"/>
          <w:sz w:val="28"/>
          <w:szCs w:val="28"/>
          <w:lang w:eastAsia="zh-CN"/>
        </w:rPr>
        <w:t>资金使用合规，产出基本达到预期目标。</w:t>
      </w:r>
      <w:r>
        <w:rPr>
          <w:rFonts w:hint="eastAsia" w:ascii="仿宋" w:hAnsi="仿宋" w:eastAsia="仿宋" w:cs="仿宋_GB2312"/>
          <w:kern w:val="2"/>
          <w:sz w:val="28"/>
          <w:szCs w:val="28"/>
          <w:lang w:val="en-US" w:eastAsia="zh-CN"/>
        </w:rPr>
        <w:t>项目的实施，</w:t>
      </w:r>
      <w:r>
        <w:rPr>
          <w:rFonts w:hint="eastAsia" w:ascii="仿宋" w:hAnsi="仿宋" w:eastAsia="仿宋" w:cs="仿宋_GB2312"/>
          <w:kern w:val="2"/>
          <w:sz w:val="28"/>
          <w:szCs w:val="28"/>
          <w:lang w:eastAsia="zh-CN"/>
        </w:rPr>
        <w:t>目前</w:t>
      </w:r>
      <w:r>
        <w:rPr>
          <w:rFonts w:hint="eastAsia" w:ascii="仿宋" w:hAnsi="仿宋" w:eastAsia="仿宋" w:cs="仿宋"/>
          <w:kern w:val="2"/>
          <w:sz w:val="28"/>
          <w:szCs w:val="28"/>
          <w:lang w:eastAsia="zh-CN"/>
        </w:rPr>
        <w:t>存在未提供绩效目标申报表、流转费到位和兑付存在滞后性、没有制定补发以前年度流转费的方案等问题。</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（二）评分结果</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评价小组根据绩效指标体系及评分标准，通过数据采集、问卷调查及访谈的方式，对2022年黄河银川段两岸河滩地收回整治生态修复项目评价，最终评价结果：总分77.00分，绩效评级为“合格”。绩效分值如下表：</w:t>
      </w:r>
    </w:p>
    <w:p>
      <w:pPr>
        <w:widowControl w:val="0"/>
        <w:spacing w:after="0" w:line="360" w:lineRule="auto"/>
        <w:jc w:val="center"/>
        <w:rPr>
          <w:rFonts w:ascii="等线" w:hAnsi="等线" w:eastAsia="等线" w:cs="等线"/>
          <w:b/>
          <w:bCs/>
          <w:kern w:val="2"/>
          <w:lang w:eastAsia="zh-CN"/>
        </w:rPr>
      </w:pPr>
    </w:p>
    <w:p>
      <w:pPr>
        <w:widowControl w:val="0"/>
        <w:spacing w:after="0" w:line="360" w:lineRule="auto"/>
        <w:jc w:val="center"/>
        <w:rPr>
          <w:rFonts w:ascii="等线" w:hAnsi="等线" w:eastAsia="等线" w:cs="等线"/>
          <w:b/>
          <w:bCs/>
          <w:kern w:val="2"/>
          <w:lang w:eastAsia="zh-CN"/>
        </w:rPr>
      </w:pPr>
      <w:r>
        <w:rPr>
          <w:rFonts w:hint="eastAsia" w:ascii="等线" w:hAnsi="等线" w:eastAsia="等线" w:cs="等线"/>
          <w:b/>
          <w:bCs/>
          <w:kern w:val="2"/>
          <w:lang w:eastAsia="zh-CN"/>
        </w:rPr>
        <w:t>项目绩效评价得分表</w:t>
      </w:r>
    </w:p>
    <w:tbl>
      <w:tblPr>
        <w:tblStyle w:val="15"/>
        <w:tblW w:w="0" w:type="auto"/>
        <w:jc w:val="center"/>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45"/>
        <w:gridCol w:w="1373"/>
        <w:gridCol w:w="1467"/>
        <w:gridCol w:w="1383"/>
        <w:gridCol w:w="1300"/>
        <w:gridCol w:w="1634"/>
      </w:tblGrid>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指标</w:t>
            </w:r>
          </w:p>
        </w:tc>
        <w:tc>
          <w:tcPr>
            <w:tcW w:w="1373"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项目决策</w:t>
            </w:r>
          </w:p>
        </w:tc>
        <w:tc>
          <w:tcPr>
            <w:tcW w:w="1467"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项目管理</w:t>
            </w:r>
          </w:p>
        </w:tc>
        <w:tc>
          <w:tcPr>
            <w:tcW w:w="1383"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项目产出</w:t>
            </w:r>
          </w:p>
        </w:tc>
        <w:tc>
          <w:tcPr>
            <w:tcW w:w="1300"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项目效益</w:t>
            </w:r>
          </w:p>
        </w:tc>
        <w:tc>
          <w:tcPr>
            <w:tcW w:w="1634"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合计</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权重</w:t>
            </w:r>
          </w:p>
        </w:tc>
        <w:tc>
          <w:tcPr>
            <w:tcW w:w="137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15%</w:t>
            </w:r>
          </w:p>
        </w:tc>
        <w:tc>
          <w:tcPr>
            <w:tcW w:w="1467"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25%</w:t>
            </w:r>
          </w:p>
        </w:tc>
        <w:tc>
          <w:tcPr>
            <w:tcW w:w="138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32%</w:t>
            </w:r>
          </w:p>
        </w:tc>
        <w:tc>
          <w:tcPr>
            <w:tcW w:w="1300"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28%</w:t>
            </w:r>
          </w:p>
        </w:tc>
        <w:tc>
          <w:tcPr>
            <w:tcW w:w="1634"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100%</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得分</w:t>
            </w:r>
          </w:p>
        </w:tc>
        <w:tc>
          <w:tcPr>
            <w:tcW w:w="137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12.00</w:t>
            </w:r>
          </w:p>
        </w:tc>
        <w:tc>
          <w:tcPr>
            <w:tcW w:w="1467"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17.00</w:t>
            </w:r>
          </w:p>
        </w:tc>
        <w:tc>
          <w:tcPr>
            <w:tcW w:w="138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24.49</w:t>
            </w:r>
          </w:p>
        </w:tc>
        <w:tc>
          <w:tcPr>
            <w:tcW w:w="1300"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23.51</w:t>
            </w:r>
          </w:p>
        </w:tc>
        <w:tc>
          <w:tcPr>
            <w:tcW w:w="1634" w:type="dxa"/>
            <w:vAlign w:val="center"/>
          </w:tcPr>
          <w:p>
            <w:pPr>
              <w:widowControl w:val="0"/>
              <w:spacing w:after="0" w:line="360" w:lineRule="auto"/>
              <w:jc w:val="center"/>
              <w:rPr>
                <w:rFonts w:hint="default" w:ascii="等线" w:hAnsi="等线" w:eastAsia="等线" w:cs="等线"/>
                <w:kern w:val="2"/>
                <w:lang w:val="en-US" w:eastAsia="zh-CN"/>
              </w:rPr>
            </w:pPr>
            <w:r>
              <w:rPr>
                <w:rFonts w:hint="eastAsia" w:ascii="等线" w:hAnsi="等线" w:eastAsia="等线" w:cs="等线"/>
                <w:kern w:val="2"/>
                <w:lang w:eastAsia="zh-CN"/>
              </w:rPr>
              <w:t>77</w:t>
            </w:r>
            <w:r>
              <w:rPr>
                <w:rFonts w:hint="eastAsia" w:ascii="等线" w:hAnsi="等线" w:eastAsia="等线" w:cs="等线"/>
                <w:kern w:val="2"/>
                <w:lang w:val="en-US" w:eastAsia="zh-CN"/>
              </w:rPr>
              <w:t>.00</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tcBorders>
              <w:bottom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得分率</w:t>
            </w:r>
          </w:p>
        </w:tc>
        <w:tc>
          <w:tcPr>
            <w:tcW w:w="1373"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80%</w:t>
            </w:r>
          </w:p>
        </w:tc>
        <w:tc>
          <w:tcPr>
            <w:tcW w:w="1467"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68%</w:t>
            </w:r>
          </w:p>
        </w:tc>
        <w:tc>
          <w:tcPr>
            <w:tcW w:w="1383"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76.53%</w:t>
            </w:r>
          </w:p>
        </w:tc>
        <w:tc>
          <w:tcPr>
            <w:tcW w:w="1300"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83.96%</w:t>
            </w:r>
          </w:p>
        </w:tc>
        <w:tc>
          <w:tcPr>
            <w:tcW w:w="1634"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77.00%</w:t>
            </w:r>
          </w:p>
        </w:tc>
      </w:tr>
    </w:tbl>
    <w:p>
      <w:pPr>
        <w:widowControl w:val="0"/>
        <w:spacing w:after="0" w:line="360" w:lineRule="auto"/>
        <w:ind w:firstLine="562" w:firstLineChars="200"/>
        <w:jc w:val="both"/>
        <w:rPr>
          <w:rFonts w:ascii="仿宋" w:hAnsi="仿宋" w:eastAsia="仿宋" w:cs="仿宋"/>
          <w:b/>
          <w:sz w:val="28"/>
          <w:szCs w:val="28"/>
          <w:lang w:eastAsia="zh-CN"/>
        </w:rPr>
      </w:pPr>
      <w:r>
        <w:rPr>
          <w:rFonts w:hint="eastAsia" w:ascii="仿宋" w:hAnsi="仿宋" w:eastAsia="仿宋" w:cs="仿宋"/>
          <w:b/>
          <w:sz w:val="28"/>
          <w:szCs w:val="28"/>
          <w:lang w:eastAsia="zh-CN"/>
        </w:rPr>
        <w:t>三、存在的主要问题</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1.未提供绩效目标申报表</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2.流转费的到位和兑付存在滞后性</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3.没有制定补发以前年度流转费的方案</w:t>
      </w:r>
    </w:p>
    <w:p>
      <w:pPr>
        <w:widowControl w:val="0"/>
        <w:spacing w:after="0" w:line="360" w:lineRule="auto"/>
        <w:ind w:firstLine="562" w:firstLineChars="200"/>
        <w:jc w:val="both"/>
        <w:rPr>
          <w:rFonts w:ascii="仿宋" w:hAnsi="仿宋" w:eastAsia="仿宋" w:cs="仿宋"/>
          <w:b/>
          <w:sz w:val="28"/>
          <w:szCs w:val="28"/>
          <w:lang w:eastAsia="zh-CN"/>
        </w:rPr>
      </w:pPr>
      <w:r>
        <w:rPr>
          <w:rFonts w:hint="eastAsia" w:ascii="仿宋" w:hAnsi="仿宋" w:eastAsia="仿宋" w:cs="仿宋"/>
          <w:b/>
          <w:sz w:val="28"/>
          <w:szCs w:val="28"/>
          <w:lang w:eastAsia="zh-CN"/>
        </w:rPr>
        <w:t>四、相关建议和措施</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1.及时填报并提供绩效目标申报表</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2.及时兑付资金</w:t>
      </w:r>
    </w:p>
    <w:p>
      <w:pPr>
        <w:widowControl w:val="0"/>
        <w:tabs>
          <w:tab w:val="left" w:pos="1026"/>
        </w:tabs>
        <w:spacing w:after="0" w:line="360" w:lineRule="auto"/>
        <w:ind w:firstLine="560" w:firstLineChars="200"/>
        <w:jc w:val="both"/>
        <w:rPr>
          <w:rFonts w:ascii="仿宋" w:hAnsi="仿宋" w:eastAsia="仿宋" w:cs="仿宋_GB2312"/>
          <w:kern w:val="2"/>
          <w:sz w:val="28"/>
          <w:szCs w:val="28"/>
          <w:lang w:eastAsia="zh-CN"/>
        </w:rPr>
        <w:sectPr>
          <w:footerReference r:id="rId8"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kern w:val="2"/>
          <w:sz w:val="28"/>
          <w:szCs w:val="28"/>
          <w:lang w:eastAsia="zh-CN"/>
        </w:rPr>
        <w:t>3.制定补发以前难度流转费方案</w:t>
      </w:r>
    </w:p>
    <w:p>
      <w:pPr>
        <w:rPr>
          <w:lang w:eastAsia="zh-CN"/>
        </w:rPr>
      </w:pPr>
    </w:p>
    <w:p>
      <w:pPr>
        <w:widowControl w:val="0"/>
        <w:tabs>
          <w:tab w:val="left" w:pos="567"/>
        </w:tabs>
        <w:spacing w:after="0" w:line="360" w:lineRule="auto"/>
        <w:jc w:val="center"/>
        <w:rPr>
          <w:rFonts w:ascii="仿宋" w:hAnsi="仿宋" w:eastAsia="仿宋" w:cs="仿宋"/>
          <w:b/>
          <w:bCs/>
          <w:color w:val="000000"/>
          <w:sz w:val="36"/>
          <w:szCs w:val="36"/>
          <w:lang w:eastAsia="zh-CN"/>
        </w:rPr>
      </w:pPr>
      <w:bookmarkStart w:id="38" w:name="_Toc11642"/>
      <w:r>
        <w:rPr>
          <w:rFonts w:hint="eastAsia" w:ascii="仿宋" w:hAnsi="仿宋" w:eastAsia="仿宋" w:cs="仿宋"/>
          <w:b/>
          <w:bCs/>
          <w:color w:val="000000"/>
          <w:sz w:val="36"/>
          <w:szCs w:val="36"/>
          <w:lang w:eastAsia="zh-CN"/>
        </w:rPr>
        <w:t>2022年度黄河银川段两岸河滩地收回整治生态修复项目绩效评价报告</w:t>
      </w:r>
      <w:bookmarkEnd w:id="38"/>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both"/>
        <w:textAlignment w:val="auto"/>
        <w:rPr>
          <w:rFonts w:ascii="仿宋" w:hAnsi="仿宋" w:eastAsia="仿宋" w:cs="仿宋_GB2312"/>
          <w:kern w:val="2"/>
          <w:sz w:val="28"/>
          <w:szCs w:val="28"/>
          <w:lang w:eastAsia="zh-CN"/>
        </w:rPr>
      </w:pPr>
      <w:r>
        <w:rPr>
          <w:rFonts w:hint="eastAsia" w:ascii="仿宋" w:hAnsi="仿宋" w:eastAsia="仿宋" w:cs="仿宋_GB2312"/>
          <w:kern w:val="2"/>
          <w:sz w:val="28"/>
          <w:szCs w:val="28"/>
          <w:lang w:eastAsia="zh-CN"/>
        </w:rPr>
        <w:t>根据《项目支出绩效评价管理办法》(财预</w:t>
      </w:r>
      <w:r>
        <w:rPr>
          <w:rFonts w:hint="eastAsia" w:ascii="仿宋" w:hAnsi="仿宋" w:eastAsia="仿宋" w:cs="仿宋"/>
          <w:kern w:val="2"/>
          <w:sz w:val="28"/>
          <w:szCs w:val="28"/>
          <w:lang w:val="en-US" w:eastAsia="zh-CN" w:bidi="ar-SA"/>
        </w:rPr>
        <w:t>〔2020〕</w:t>
      </w:r>
      <w:r>
        <w:rPr>
          <w:rFonts w:hint="eastAsia" w:ascii="仿宋" w:hAnsi="仿宋" w:eastAsia="仿宋" w:cs="仿宋_GB2312"/>
          <w:kern w:val="2"/>
          <w:sz w:val="28"/>
          <w:szCs w:val="28"/>
          <w:lang w:eastAsia="zh-CN"/>
        </w:rPr>
        <w:t>10号）和自治区财政厅开展绩效评价工作要求的相关规定，结合银市兴庆区财政局财政支出管理的实际情况，宁夏</w:t>
      </w:r>
      <w:r>
        <w:rPr>
          <w:rFonts w:hint="eastAsia" w:ascii="仿宋" w:hAnsi="仿宋" w:eastAsia="仿宋" w:cs="仿宋_GB2312"/>
          <w:kern w:val="2"/>
          <w:sz w:val="28"/>
          <w:szCs w:val="28"/>
          <w:lang w:val="en-US" w:eastAsia="zh-CN"/>
        </w:rPr>
        <w:t>沪</w:t>
      </w:r>
      <w:r>
        <w:rPr>
          <w:rFonts w:hint="eastAsia" w:ascii="仿宋" w:hAnsi="仿宋" w:eastAsia="仿宋" w:cs="仿宋_GB2312"/>
          <w:kern w:val="2"/>
          <w:sz w:val="28"/>
          <w:szCs w:val="28"/>
          <w:lang w:eastAsia="zh-CN"/>
        </w:rPr>
        <w:t>尚智评管理咨询有限公司受兴庆区财政局委托，对2022年度兴庆区黄河银川段两沙滩地收回整治生态修复项目进行绩效评价。我公司经过数据采集、访谈、问卷调查等必要的评价程序，采用定性分析与定量分析相结合的方法，在梳理、分析评价数据资料的基础上，形成本评价报告。</w:t>
      </w:r>
    </w:p>
    <w:p>
      <w:pPr>
        <w:pStyle w:val="3"/>
        <w:keepNext w:val="0"/>
        <w:keepLines w:val="0"/>
        <w:pageBreakBefore w:val="0"/>
        <w:widowControl w:val="0"/>
        <w:kinsoku/>
        <w:wordWrap/>
        <w:overflowPunct/>
        <w:topLinePunct w:val="0"/>
        <w:autoSpaceDE/>
        <w:autoSpaceDN/>
        <w:bidi w:val="0"/>
        <w:adjustRightInd/>
        <w:snapToGrid/>
        <w:spacing w:beforeLines="0" w:after="0" w:line="360" w:lineRule="auto"/>
        <w:jc w:val="both"/>
        <w:textAlignment w:val="auto"/>
        <w:rPr>
          <w:rFonts w:ascii="仿宋" w:hAnsi="仿宋" w:eastAsia="仿宋" w:cs="仿宋"/>
          <w:sz w:val="32"/>
          <w:szCs w:val="32"/>
          <w:lang w:eastAsia="zh-CN"/>
        </w:rPr>
      </w:pPr>
      <w:bookmarkStart w:id="39" w:name="_Toc27658"/>
      <w:bookmarkStart w:id="40" w:name="_Toc13627"/>
      <w:bookmarkStart w:id="41" w:name="_Toc4851"/>
      <w:bookmarkStart w:id="42" w:name="_Toc23068"/>
      <w:bookmarkStart w:id="43" w:name="_Toc517105113"/>
      <w:bookmarkStart w:id="44" w:name="_Toc487460991"/>
      <w:r>
        <w:rPr>
          <w:rFonts w:ascii="仿宋" w:hAnsi="仿宋" w:eastAsia="仿宋" w:cs="仿宋"/>
          <w:sz w:val="32"/>
          <w:szCs w:val="32"/>
          <w:lang w:eastAsia="zh-CN"/>
        </w:rPr>
        <w:t>一、项目基本情况</w:t>
      </w:r>
      <w:bookmarkEnd w:id="39"/>
      <w:bookmarkEnd w:id="40"/>
      <w:bookmarkEnd w:id="41"/>
      <w:bookmarkEnd w:id="42"/>
      <w:bookmarkEnd w:id="43"/>
      <w:bookmarkEnd w:id="44"/>
    </w:p>
    <w:p>
      <w:pPr>
        <w:pStyle w:val="4"/>
        <w:keepNext w:val="0"/>
        <w:keepLines w:val="0"/>
        <w:pageBreakBefore w:val="0"/>
        <w:widowControl w:val="0"/>
        <w:kinsoku/>
        <w:wordWrap/>
        <w:overflowPunct/>
        <w:topLinePunct w:val="0"/>
        <w:autoSpaceDE/>
        <w:autoSpaceDN/>
        <w:bidi w:val="0"/>
        <w:adjustRightInd/>
        <w:snapToGrid/>
        <w:spacing w:before="0" w:line="360" w:lineRule="auto"/>
        <w:ind w:firstLine="562" w:firstLineChars="200"/>
        <w:jc w:val="both"/>
        <w:textAlignment w:val="auto"/>
        <w:rPr>
          <w:rFonts w:ascii="仿宋" w:hAnsi="仿宋" w:eastAsia="仿宋" w:cs="仿宋"/>
          <w:sz w:val="28"/>
          <w:szCs w:val="28"/>
          <w:lang w:eastAsia="zh-CN"/>
        </w:rPr>
      </w:pPr>
      <w:bookmarkStart w:id="45" w:name="_Toc480473073"/>
      <w:bookmarkStart w:id="46" w:name="_Toc517105114"/>
      <w:bookmarkStart w:id="47" w:name="_Toc487460992"/>
      <w:bookmarkStart w:id="48" w:name="_Toc17479"/>
      <w:bookmarkStart w:id="49" w:name="_Toc20430"/>
      <w:bookmarkStart w:id="50" w:name="_Toc14448"/>
      <w:bookmarkStart w:id="51" w:name="_Toc17681"/>
      <w:r>
        <w:rPr>
          <w:rFonts w:hint="eastAsia" w:ascii="仿宋" w:hAnsi="仿宋" w:eastAsia="仿宋" w:cs="仿宋"/>
          <w:sz w:val="28"/>
          <w:szCs w:val="28"/>
          <w:lang w:eastAsia="zh-CN"/>
        </w:rPr>
        <w:t>（一）</w:t>
      </w:r>
      <w:bookmarkEnd w:id="45"/>
      <w:bookmarkEnd w:id="46"/>
      <w:bookmarkEnd w:id="47"/>
      <w:bookmarkStart w:id="52" w:name="_Toc337918438"/>
      <w:bookmarkEnd w:id="52"/>
      <w:r>
        <w:rPr>
          <w:rFonts w:hint="eastAsia" w:ascii="仿宋" w:hAnsi="仿宋" w:eastAsia="仿宋" w:cs="仿宋"/>
          <w:sz w:val="28"/>
          <w:szCs w:val="28"/>
          <w:lang w:eastAsia="zh-CN"/>
        </w:rPr>
        <w:t>项目概况</w:t>
      </w:r>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jc w:val="both"/>
        <w:textAlignment w:val="auto"/>
        <w:rPr>
          <w:rFonts w:ascii="仿宋" w:hAnsi="仿宋" w:eastAsia="仿宋" w:cs="仿宋"/>
          <w:b/>
          <w:bCs/>
          <w:kern w:val="2"/>
          <w:sz w:val="28"/>
          <w:szCs w:val="28"/>
          <w:lang w:eastAsia="zh-CN"/>
        </w:rPr>
      </w:pPr>
      <w:bookmarkStart w:id="53" w:name="_Toc10188"/>
      <w:bookmarkStart w:id="54" w:name="_Toc14700652"/>
      <w:bookmarkStart w:id="55" w:name="_Toc518921554"/>
      <w:bookmarkStart w:id="56" w:name="_Toc12647577"/>
      <w:r>
        <w:rPr>
          <w:rFonts w:hint="eastAsia" w:ascii="仿宋" w:hAnsi="仿宋" w:eastAsia="仿宋" w:cs="仿宋"/>
          <w:b/>
          <w:bCs/>
          <w:kern w:val="2"/>
          <w:sz w:val="28"/>
          <w:szCs w:val="28"/>
          <w:lang w:eastAsia="zh-CN"/>
        </w:rPr>
        <w:t>1.项目背景</w:t>
      </w:r>
      <w:bookmarkEnd w:id="53"/>
      <w:bookmarkEnd w:id="54"/>
      <w:bookmarkEnd w:id="55"/>
      <w:bookmarkEnd w:id="56"/>
    </w:p>
    <w:p>
      <w:pPr>
        <w:pStyle w:val="7"/>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lang w:eastAsia="zh-CN"/>
        </w:rPr>
      </w:pPr>
      <w:r>
        <w:rPr>
          <w:rFonts w:hint="eastAsia" w:ascii="仿宋" w:hAnsi="仿宋" w:eastAsia="仿宋" w:cs="仿宋"/>
          <w:kern w:val="2"/>
          <w:sz w:val="28"/>
          <w:szCs w:val="28"/>
          <w:lang w:eastAsia="zh-CN"/>
        </w:rPr>
        <w:t>为深入贯彻落实习近平生态文明思想，打好新时代黄河保卫战，建设“绿色、高端、和谐、宜居”美丽新银川，按照银川市委、市政府工作安排，结合黄河两岸生态廊道和滨河水体净化湿地扩整连通工程规划情况，实施黄河银川段两岸河滩地收回整治生态修复项目，对加强生态保护治理、保障黄河长治久安，逐步恢复黄河银川段两岸自然生态本底具有重要意义。</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jc w:val="both"/>
        <w:textAlignment w:val="auto"/>
        <w:rPr>
          <w:rFonts w:ascii="仿宋" w:hAnsi="仿宋" w:eastAsia="仿宋" w:cs="仿宋"/>
          <w:b/>
          <w:bCs/>
          <w:kern w:val="2"/>
          <w:sz w:val="28"/>
          <w:szCs w:val="28"/>
          <w:lang w:eastAsia="zh-CN"/>
        </w:rPr>
      </w:pPr>
      <w:bookmarkStart w:id="57" w:name="_Toc517105117"/>
      <w:bookmarkStart w:id="58" w:name="_Toc14700653"/>
      <w:bookmarkStart w:id="59" w:name="_Toc518921555"/>
      <w:bookmarkStart w:id="60" w:name="_Toc12647578"/>
      <w:r>
        <w:rPr>
          <w:rFonts w:hint="eastAsia" w:ascii="仿宋" w:hAnsi="仿宋" w:eastAsia="仿宋" w:cs="仿宋"/>
          <w:b/>
          <w:bCs/>
          <w:kern w:val="2"/>
          <w:sz w:val="28"/>
          <w:szCs w:val="28"/>
          <w:lang w:eastAsia="zh-CN"/>
        </w:rPr>
        <w:t>2.项目预算、资金来源及执行情况</w:t>
      </w:r>
      <w:bookmarkEnd w:id="57"/>
      <w:bookmarkEnd w:id="58"/>
      <w:bookmarkEnd w:id="59"/>
      <w:bookmarkEnd w:id="60"/>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（1）预算安排及预算执行情况</w:t>
      </w:r>
    </w:p>
    <w:p>
      <w:pPr>
        <w:keepNext w:val="0"/>
        <w:keepLines w:val="0"/>
        <w:pageBreakBefore w:val="0"/>
        <w:widowControl w:val="0"/>
        <w:tabs>
          <w:tab w:val="left" w:pos="1026"/>
        </w:tabs>
        <w:kinsoku/>
        <w:wordWrap/>
        <w:overflowPunct/>
        <w:topLinePunct w:val="0"/>
        <w:autoSpaceDE/>
        <w:autoSpaceDN/>
        <w:bidi w:val="0"/>
        <w:adjustRightInd/>
        <w:snapToGrid/>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w:t>
      </w:r>
      <w:r>
        <w:rPr>
          <w:rFonts w:hint="eastAsia" w:ascii="仿宋" w:hAnsi="仿宋" w:eastAsia="仿宋" w:cs="仿宋"/>
          <w:kern w:val="2"/>
          <w:sz w:val="28"/>
          <w:szCs w:val="28"/>
          <w:lang w:val="en-US" w:eastAsia="zh-CN"/>
        </w:rPr>
        <w:t>评价</w:t>
      </w:r>
      <w:r>
        <w:rPr>
          <w:rFonts w:hint="eastAsia" w:ascii="仿宋" w:hAnsi="仿宋" w:eastAsia="仿宋" w:cs="仿宋"/>
          <w:kern w:val="2"/>
          <w:sz w:val="28"/>
          <w:szCs w:val="28"/>
          <w:lang w:eastAsia="zh-CN"/>
        </w:rPr>
        <w:t>资金为242.619万元，涉及一个预算单位的一个子项目，截至2022年12月31日，项目实际到位0元，实际支出0元，预算执行率0%。</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jc w:val="left"/>
        <w:textAlignment w:val="auto"/>
        <w:rPr>
          <w:rFonts w:hint="eastAsia"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w:t>
      </w:r>
      <w:r>
        <w:rPr>
          <w:rFonts w:hint="eastAsia" w:ascii="仿宋" w:hAnsi="仿宋" w:eastAsia="仿宋" w:cs="仿宋"/>
          <w:b/>
          <w:bCs/>
          <w:kern w:val="2"/>
          <w:sz w:val="28"/>
          <w:szCs w:val="28"/>
          <w:lang w:val="en-US" w:eastAsia="zh-CN"/>
        </w:rPr>
        <w:t>2</w:t>
      </w:r>
      <w:r>
        <w:rPr>
          <w:rFonts w:hint="eastAsia" w:ascii="仿宋" w:hAnsi="仿宋" w:eastAsia="仿宋" w:cs="仿宋"/>
          <w:b/>
          <w:bCs/>
          <w:kern w:val="2"/>
          <w:sz w:val="28"/>
          <w:szCs w:val="28"/>
          <w:lang w:eastAsia="zh-CN"/>
        </w:rPr>
        <w:t>）资金来源</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0" w:firstLineChars="20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根据指标（银财预字〔2021〕第区44号）文件共下达资金242.619万元。</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jc w:val="both"/>
        <w:textAlignment w:val="auto"/>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3.项目主要内容及完成情况</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兴庆区河滩地收回工作中流转责任地面积共5673.25亩，其中通贵乡流转责任地4043.65亩，涉及4个行政村的444户居民。流转费每年每亩600元，共242.619万元。截止202</w:t>
      </w:r>
      <w:r>
        <w:rPr>
          <w:rFonts w:hint="eastAsia" w:ascii="仿宋" w:hAnsi="仿宋" w:eastAsia="仿宋" w:cs="仿宋"/>
          <w:kern w:val="2"/>
          <w:sz w:val="28"/>
          <w:szCs w:val="28"/>
          <w:lang w:val="en-US" w:eastAsia="zh-CN"/>
        </w:rPr>
        <w:t>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eastAsia="zh-CN"/>
        </w:rPr>
        <w:t>12</w:t>
      </w:r>
      <w:r>
        <w:rPr>
          <w:rFonts w:hint="eastAsia" w:ascii="仿宋" w:hAnsi="仿宋" w:eastAsia="仿宋" w:cs="仿宋"/>
          <w:kern w:val="2"/>
          <w:sz w:val="28"/>
          <w:szCs w:val="28"/>
          <w:lang w:eastAsia="zh-CN"/>
        </w:rPr>
        <w:t>月</w:t>
      </w:r>
      <w:r>
        <w:rPr>
          <w:rFonts w:hint="eastAsia" w:ascii="仿宋" w:hAnsi="仿宋" w:eastAsia="仿宋" w:cs="仿宋"/>
          <w:kern w:val="2"/>
          <w:sz w:val="28"/>
          <w:szCs w:val="28"/>
          <w:lang w:val="en-US" w:eastAsia="zh-CN"/>
        </w:rPr>
        <w:t>30</w:t>
      </w:r>
      <w:r>
        <w:rPr>
          <w:rFonts w:hint="eastAsia" w:ascii="仿宋" w:hAnsi="仿宋" w:eastAsia="仿宋" w:cs="仿宋"/>
          <w:kern w:val="2"/>
          <w:sz w:val="28"/>
          <w:szCs w:val="28"/>
          <w:lang w:eastAsia="zh-CN"/>
        </w:rPr>
        <w:t>日，已签订流转责任地协议的农户393户，收回流转责任地2984.8亩,兑付流转费179.0934万元。未签订协议流转责任地协议农户51户，未收回流转责任地1058.76亩,剩余63.5256万元流转费未发放。</w:t>
      </w:r>
    </w:p>
    <w:p>
      <w:pPr>
        <w:widowControl w:val="0"/>
        <w:tabs>
          <w:tab w:val="left" w:pos="1026"/>
        </w:tabs>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4.项目的组织及管理</w:t>
      </w:r>
    </w:p>
    <w:p>
      <w:pPr>
        <w:widowControl w:val="0"/>
        <w:tabs>
          <w:tab w:val="left" w:pos="1026"/>
        </w:tabs>
        <w:spacing w:after="0" w:line="360" w:lineRule="auto"/>
        <w:ind w:firstLine="560" w:firstLineChars="200"/>
        <w:jc w:val="both"/>
        <w:rPr>
          <w:rFonts w:hint="default" w:ascii="仿宋" w:hAnsi="仿宋" w:eastAsia="仿宋" w:cs="仿宋"/>
          <w:kern w:val="2"/>
          <w:sz w:val="28"/>
          <w:szCs w:val="28"/>
          <w:highlight w:val="none"/>
          <w:lang w:val="en-US" w:eastAsia="zh-CN"/>
        </w:rPr>
      </w:pPr>
      <w:r>
        <w:rPr>
          <w:rFonts w:hint="eastAsia" w:ascii="仿宋" w:hAnsi="仿宋" w:eastAsia="仿宋" w:cs="仿宋"/>
          <w:kern w:val="2"/>
          <w:sz w:val="28"/>
          <w:szCs w:val="28"/>
          <w:highlight w:val="none"/>
          <w:lang w:eastAsia="zh-CN"/>
        </w:rPr>
        <w:t>由市政府负责，成立全市黄河河滩地回收整治和管理开发工作小组，负责统筹推进黄河河滩地回收整治政策研究、规划制定、保护开发、生态建设等工作。市自然资源局会同沿黄县(市)区政府期调查摸底、登记造册的基础上，按照属地管理原则，对黄河河滩地四至界限、性质权属等情况再细化再分类，进一步</w:t>
      </w:r>
      <w:r>
        <w:rPr>
          <w:rFonts w:hint="eastAsia" w:ascii="仿宋" w:hAnsi="仿宋" w:eastAsia="仿宋" w:cs="仿宋"/>
          <w:kern w:val="2"/>
          <w:sz w:val="28"/>
          <w:szCs w:val="28"/>
          <w:highlight w:val="none"/>
          <w:lang w:val="en-US" w:eastAsia="zh-CN"/>
        </w:rPr>
        <w:t>理清</w:t>
      </w:r>
      <w:r>
        <w:rPr>
          <w:rFonts w:hint="eastAsia" w:ascii="仿宋" w:hAnsi="仿宋" w:eastAsia="仿宋" w:cs="仿宋"/>
          <w:kern w:val="2"/>
          <w:sz w:val="28"/>
          <w:szCs w:val="28"/>
          <w:highlight w:val="none"/>
          <w:lang w:eastAsia="zh-CN"/>
        </w:rPr>
        <w:t>开发使用现状，根据分类梳理情况，提出回收整治具体意见。</w:t>
      </w:r>
      <w:r>
        <w:rPr>
          <w:rFonts w:hint="eastAsia" w:ascii="仿宋" w:hAnsi="仿宋" w:eastAsia="仿宋" w:cs="仿宋"/>
          <w:kern w:val="2"/>
          <w:sz w:val="28"/>
          <w:szCs w:val="28"/>
          <w:highlight w:val="none"/>
          <w:lang w:val="en-US" w:eastAsia="zh-CN"/>
        </w:rPr>
        <w:t>最后由各乡政府负责联系村民签订流转责任地协议和兑付流转费。</w:t>
      </w:r>
    </w:p>
    <w:p>
      <w:pPr>
        <w:pStyle w:val="4"/>
        <w:widowControl w:val="0"/>
        <w:spacing w:before="0" w:line="360" w:lineRule="auto"/>
        <w:ind w:firstLine="562" w:firstLineChars="200"/>
        <w:jc w:val="both"/>
        <w:rPr>
          <w:rFonts w:ascii="仿宋" w:hAnsi="仿宋" w:eastAsia="仿宋" w:cs="仿宋"/>
          <w:sz w:val="28"/>
          <w:szCs w:val="28"/>
          <w:lang w:eastAsia="zh-CN"/>
        </w:rPr>
      </w:pPr>
      <w:bookmarkStart w:id="61" w:name="_Toc3401"/>
      <w:bookmarkStart w:id="62" w:name="_Toc4114"/>
      <w:bookmarkStart w:id="63" w:name="_Toc24358"/>
      <w:bookmarkStart w:id="64" w:name="_Toc9501"/>
      <w:bookmarkStart w:id="65" w:name="_Toc14238"/>
      <w:r>
        <w:rPr>
          <w:rFonts w:hint="eastAsia" w:ascii="仿宋" w:hAnsi="仿宋" w:eastAsia="仿宋" w:cs="仿宋"/>
          <w:sz w:val="28"/>
          <w:szCs w:val="28"/>
          <w:lang w:eastAsia="zh-CN"/>
        </w:rPr>
        <w:t>（二）项目绩效目标</w:t>
      </w:r>
      <w:bookmarkEnd w:id="61"/>
      <w:bookmarkEnd w:id="62"/>
      <w:bookmarkEnd w:id="63"/>
      <w:bookmarkEnd w:id="64"/>
      <w:bookmarkEnd w:id="65"/>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66" w:name="_Toc23786"/>
      <w:r>
        <w:rPr>
          <w:rFonts w:hint="eastAsia" w:ascii="仿宋" w:hAnsi="仿宋" w:eastAsia="仿宋" w:cs="仿宋"/>
          <w:b/>
          <w:bCs/>
          <w:kern w:val="2"/>
          <w:sz w:val="28"/>
          <w:szCs w:val="28"/>
          <w:lang w:eastAsia="zh-CN"/>
        </w:rPr>
        <w:t>1.项目绩效总目标</w:t>
      </w:r>
      <w:bookmarkEnd w:id="66"/>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坚持以习近平生态文明思想为指导，践行“绿水青山就是金山银山”的理念，深入实施生态立市战略，开展黄河银川段两岸河滩地收回和岸线生态廊道建设，建立长效保护机制，基本消除黄河银川段两岸损害黄河生态环境突出问题，逐步恢复黄河银川段两岸自然生态本底。</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2.项目绩效年度目标</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本年度的主要工作为黄河段银川两岸河滩地的收回工作。完成通贵乡4个行政村444户，4043.65亩流转责任地，242.619万元的兑付工作。</w:t>
      </w:r>
    </w:p>
    <w:p>
      <w:pPr>
        <w:widowControl w:val="0"/>
        <w:spacing w:after="0" w:line="360" w:lineRule="auto"/>
        <w:ind w:firstLine="643" w:firstLineChars="200"/>
        <w:jc w:val="both"/>
        <w:outlineLvl w:val="0"/>
        <w:rPr>
          <w:rFonts w:ascii="仿宋" w:hAnsi="仿宋" w:eastAsia="仿宋" w:cs="仿宋"/>
          <w:b/>
          <w:bCs/>
          <w:kern w:val="44"/>
          <w:sz w:val="32"/>
          <w:szCs w:val="32"/>
          <w:lang w:eastAsia="zh-CN"/>
        </w:rPr>
      </w:pPr>
      <w:bookmarkStart w:id="67" w:name="_Toc490135632"/>
      <w:bookmarkStart w:id="68" w:name="_Toc461976046"/>
      <w:bookmarkStart w:id="69" w:name="_Toc517105121"/>
      <w:bookmarkStart w:id="70" w:name="_Toc22750"/>
      <w:bookmarkStart w:id="71" w:name="_Toc640"/>
      <w:bookmarkStart w:id="72" w:name="_Toc3376"/>
      <w:bookmarkStart w:id="73" w:name="_Toc20350"/>
      <w:bookmarkStart w:id="74" w:name="_Toc31704"/>
      <w:r>
        <w:rPr>
          <w:rFonts w:hint="eastAsia" w:ascii="仿宋" w:hAnsi="仿宋" w:eastAsia="仿宋" w:cs="仿宋"/>
          <w:b/>
          <w:bCs/>
          <w:kern w:val="44"/>
          <w:sz w:val="32"/>
          <w:szCs w:val="32"/>
          <w:lang w:eastAsia="zh-CN"/>
        </w:rPr>
        <w:t>二、项目绩效评价</w:t>
      </w:r>
      <w:bookmarkEnd w:id="67"/>
      <w:bookmarkEnd w:id="68"/>
      <w:bookmarkEnd w:id="69"/>
      <w:r>
        <w:rPr>
          <w:rFonts w:hint="eastAsia" w:ascii="仿宋" w:hAnsi="仿宋" w:eastAsia="仿宋" w:cs="仿宋"/>
          <w:b/>
          <w:bCs/>
          <w:kern w:val="44"/>
          <w:sz w:val="32"/>
          <w:szCs w:val="32"/>
          <w:lang w:eastAsia="zh-CN"/>
        </w:rPr>
        <w:t>工作开展情况</w:t>
      </w:r>
      <w:bookmarkEnd w:id="70"/>
      <w:bookmarkEnd w:id="71"/>
      <w:bookmarkEnd w:id="72"/>
      <w:bookmarkEnd w:id="73"/>
      <w:bookmarkEnd w:id="74"/>
    </w:p>
    <w:p>
      <w:pPr>
        <w:pStyle w:val="4"/>
        <w:widowControl w:val="0"/>
        <w:spacing w:line="360" w:lineRule="auto"/>
        <w:ind w:firstLine="562" w:firstLineChars="200"/>
        <w:jc w:val="both"/>
        <w:rPr>
          <w:rFonts w:ascii="仿宋" w:hAnsi="仿宋" w:eastAsia="仿宋" w:cs="仿宋"/>
          <w:sz w:val="28"/>
          <w:szCs w:val="28"/>
          <w:lang w:eastAsia="zh-CN"/>
        </w:rPr>
      </w:pPr>
      <w:bookmarkStart w:id="75" w:name="_Toc461976047"/>
      <w:bookmarkStart w:id="76" w:name="_Toc490135633"/>
      <w:bookmarkStart w:id="77" w:name="_Toc517105122"/>
      <w:bookmarkStart w:id="78" w:name="_Toc29494"/>
      <w:bookmarkStart w:id="79" w:name="_Toc3886"/>
      <w:bookmarkStart w:id="80" w:name="_Toc13542"/>
      <w:bookmarkStart w:id="81" w:name="_Toc28671"/>
      <w:bookmarkStart w:id="82" w:name="_Toc29938"/>
      <w:r>
        <w:rPr>
          <w:rFonts w:hint="eastAsia" w:ascii="仿宋" w:hAnsi="仿宋" w:eastAsia="仿宋" w:cs="仿宋"/>
          <w:sz w:val="28"/>
          <w:szCs w:val="28"/>
          <w:lang w:eastAsia="zh-CN"/>
        </w:rPr>
        <w:t>（一）绩效评价目的</w:t>
      </w:r>
      <w:bookmarkEnd w:id="75"/>
      <w:bookmarkEnd w:id="76"/>
      <w:bookmarkEnd w:id="77"/>
      <w:r>
        <w:rPr>
          <w:rFonts w:hint="eastAsia" w:ascii="仿宋" w:hAnsi="仿宋" w:eastAsia="仿宋" w:cs="仿宋"/>
          <w:sz w:val="28"/>
          <w:szCs w:val="28"/>
          <w:lang w:eastAsia="zh-CN"/>
        </w:rPr>
        <w:t>、对象和范围</w:t>
      </w:r>
      <w:bookmarkEnd w:id="78"/>
      <w:bookmarkEnd w:id="79"/>
      <w:bookmarkEnd w:id="80"/>
      <w:bookmarkEnd w:id="81"/>
      <w:bookmarkEnd w:id="82"/>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83" w:name="_Toc18623"/>
      <w:r>
        <w:rPr>
          <w:rFonts w:hint="eastAsia" w:ascii="仿宋" w:hAnsi="仿宋" w:eastAsia="仿宋" w:cs="仿宋"/>
          <w:b/>
          <w:bCs/>
          <w:kern w:val="2"/>
          <w:sz w:val="28"/>
          <w:szCs w:val="28"/>
          <w:lang w:eastAsia="zh-CN"/>
        </w:rPr>
        <w:t>1.评价目的</w:t>
      </w:r>
      <w:bookmarkEnd w:id="83"/>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次绩效评价的目的是为了评价2022年黄河银川段两岸河滩地收回整治生态修复项目资金支出的使用效率和效果，项目管理过程是否规范、申报的项目是否达到预期目的。同时，通过绩效评价总结项目成绩和存在的问题，为今后的相关项目管理提供借鉴。</w:t>
      </w:r>
    </w:p>
    <w:p>
      <w:pPr>
        <w:widowControl w:val="0"/>
        <w:spacing w:after="0" w:line="360" w:lineRule="auto"/>
        <w:ind w:firstLine="562" w:firstLineChars="200"/>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2.评价对象和范围</w:t>
      </w:r>
    </w:p>
    <w:p>
      <w:pPr>
        <w:widowControl w:val="0"/>
        <w:spacing w:after="0" w:line="360" w:lineRule="auto"/>
        <w:ind w:firstLine="562" w:firstLineChars="200"/>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（1）评价对象</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本次绩效评价对象为2022年黄河银川段两岸河滩地收回整治生态修复项目预算单位及实施单位。</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(2)评价范围</w:t>
      </w:r>
    </w:p>
    <w:tbl>
      <w:tblPr>
        <w:tblStyle w:val="15"/>
        <w:tblW w:w="4999" w:type="pct"/>
        <w:tblInd w:w="0" w:type="dxa"/>
        <w:tblBorders>
          <w:top w:val="single" w:color="auto" w:sz="12" w:space="0"/>
          <w:left w:val="single" w:color="auto" w:sz="4"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6756"/>
      </w:tblGrid>
      <w:tr>
        <w:tblPrEx>
          <w:tblBorders>
            <w:top w:val="single" w:color="auto" w:sz="12"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5" w:type="pct"/>
            <w:tcBorders>
              <w:bottom w:val="single" w:color="auto" w:sz="4" w:space="0"/>
              <w:right w:val="single" w:color="auto" w:sz="4" w:space="0"/>
            </w:tcBorders>
            <w:vAlign w:val="center"/>
          </w:tcPr>
          <w:p>
            <w:pPr>
              <w:keepNext/>
              <w:spacing w:after="0" w:line="240" w:lineRule="auto"/>
              <w:jc w:val="center"/>
              <w:rPr>
                <w:rFonts w:ascii="等线" w:hAnsi="等线" w:eastAsia="等线" w:cs="等线"/>
                <w:b/>
                <w:bCs/>
                <w:kern w:val="2"/>
                <w:lang w:eastAsia="zh-CN"/>
              </w:rPr>
            </w:pPr>
            <w:r>
              <w:rPr>
                <w:rFonts w:hint="eastAsia" w:ascii="等线" w:hAnsi="等线" w:eastAsia="等线" w:cs="等线"/>
                <w:b/>
                <w:bCs/>
                <w:kern w:val="2"/>
                <w:lang w:eastAsia="zh-CN"/>
              </w:rPr>
              <w:t>时间范围</w:t>
            </w:r>
          </w:p>
        </w:tc>
        <w:tc>
          <w:tcPr>
            <w:tcW w:w="3964" w:type="pct"/>
            <w:tcBorders>
              <w:left w:val="single" w:color="auto" w:sz="4" w:space="0"/>
              <w:bottom w:val="single" w:color="auto" w:sz="4" w:space="0"/>
            </w:tcBorders>
            <w:vAlign w:val="center"/>
          </w:tcPr>
          <w:p>
            <w:pPr>
              <w:keepNext/>
              <w:spacing w:after="0" w:line="240" w:lineRule="auto"/>
              <w:jc w:val="center"/>
              <w:rPr>
                <w:rFonts w:ascii="等线" w:hAnsi="等线" w:eastAsia="等线" w:cs="等线"/>
                <w:kern w:val="2"/>
                <w:lang w:eastAsia="zh-CN"/>
              </w:rPr>
            </w:pPr>
            <w:r>
              <w:rPr>
                <w:rFonts w:hint="eastAsia" w:ascii="等线" w:hAnsi="等线" w:eastAsia="等线" w:cs="等线"/>
                <w:kern w:val="2"/>
                <w:lang w:eastAsia="zh-CN"/>
              </w:rPr>
              <w:t>2022年1月1日-2022年12月31日</w:t>
            </w:r>
          </w:p>
        </w:tc>
      </w:tr>
      <w:tr>
        <w:tblPrEx>
          <w:tblBorders>
            <w:top w:val="single" w:color="auto" w:sz="12"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5" w:type="pct"/>
            <w:tcBorders>
              <w:top w:val="single" w:color="auto" w:sz="4" w:space="0"/>
              <w:bottom w:val="single" w:color="auto" w:sz="4" w:space="0"/>
              <w:right w:val="single" w:color="auto" w:sz="4" w:space="0"/>
            </w:tcBorders>
            <w:vAlign w:val="center"/>
          </w:tcPr>
          <w:p>
            <w:pPr>
              <w:keepNext/>
              <w:spacing w:after="0" w:line="240" w:lineRule="auto"/>
              <w:jc w:val="center"/>
              <w:rPr>
                <w:rFonts w:ascii="等线" w:hAnsi="等线" w:eastAsia="等线" w:cs="等线"/>
                <w:b/>
                <w:bCs/>
                <w:kern w:val="2"/>
                <w:lang w:eastAsia="zh-CN"/>
              </w:rPr>
            </w:pPr>
            <w:r>
              <w:rPr>
                <w:rFonts w:hint="eastAsia" w:ascii="等线" w:hAnsi="等线" w:eastAsia="等线" w:cs="等线"/>
                <w:b/>
                <w:bCs/>
                <w:kern w:val="2"/>
                <w:lang w:eastAsia="zh-CN"/>
              </w:rPr>
              <w:t>资金范围</w:t>
            </w:r>
          </w:p>
        </w:tc>
        <w:tc>
          <w:tcPr>
            <w:tcW w:w="3964" w:type="pct"/>
            <w:tcBorders>
              <w:top w:val="single" w:color="auto" w:sz="4" w:space="0"/>
              <w:left w:val="single" w:color="auto" w:sz="4" w:space="0"/>
              <w:bottom w:val="single" w:color="auto" w:sz="4" w:space="0"/>
            </w:tcBorders>
            <w:vAlign w:val="center"/>
          </w:tcPr>
          <w:p>
            <w:pPr>
              <w:keepNext/>
              <w:spacing w:after="0" w:line="240" w:lineRule="auto"/>
              <w:jc w:val="center"/>
              <w:rPr>
                <w:rFonts w:ascii="等线" w:hAnsi="等线" w:eastAsia="等线" w:cs="等线"/>
                <w:kern w:val="2"/>
                <w:lang w:eastAsia="zh-CN"/>
              </w:rPr>
            </w:pPr>
            <w:r>
              <w:rPr>
                <w:rFonts w:hint="eastAsia" w:ascii="等线" w:hAnsi="等线" w:eastAsia="等线" w:cs="等线"/>
                <w:kern w:val="2"/>
                <w:lang w:eastAsia="zh-CN"/>
              </w:rPr>
              <w:t>2022年黄河银川段两岸河滩地收回整治生态修复项目</w:t>
            </w:r>
          </w:p>
        </w:tc>
      </w:tr>
      <w:tr>
        <w:tblPrEx>
          <w:tblBorders>
            <w:top w:val="single" w:color="auto" w:sz="12"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35" w:type="pct"/>
            <w:tcBorders>
              <w:top w:val="single" w:color="auto" w:sz="4" w:space="0"/>
              <w:right w:val="single" w:color="auto" w:sz="4" w:space="0"/>
            </w:tcBorders>
            <w:vAlign w:val="center"/>
          </w:tcPr>
          <w:p>
            <w:pPr>
              <w:keepNext/>
              <w:spacing w:after="0" w:line="240" w:lineRule="auto"/>
              <w:jc w:val="center"/>
              <w:rPr>
                <w:rFonts w:ascii="等线" w:hAnsi="等线" w:eastAsia="等线" w:cs="等线"/>
                <w:b/>
                <w:bCs/>
                <w:kern w:val="2"/>
                <w:lang w:eastAsia="zh-CN"/>
              </w:rPr>
            </w:pPr>
            <w:r>
              <w:rPr>
                <w:rFonts w:hint="eastAsia" w:ascii="等线" w:hAnsi="等线" w:eastAsia="等线" w:cs="等线"/>
                <w:b/>
                <w:bCs/>
                <w:kern w:val="2"/>
                <w:lang w:eastAsia="zh-CN"/>
              </w:rPr>
              <w:t>实施地点</w:t>
            </w:r>
          </w:p>
        </w:tc>
        <w:tc>
          <w:tcPr>
            <w:tcW w:w="3964" w:type="pct"/>
            <w:tcBorders>
              <w:top w:val="single" w:color="auto" w:sz="4" w:space="0"/>
              <w:left w:val="single" w:color="auto" w:sz="4" w:space="0"/>
            </w:tcBorders>
            <w:vAlign w:val="center"/>
          </w:tcPr>
          <w:p>
            <w:pPr>
              <w:keepNext/>
              <w:spacing w:after="0" w:line="240" w:lineRule="auto"/>
              <w:jc w:val="center"/>
              <w:rPr>
                <w:rFonts w:ascii="等线" w:hAnsi="等线" w:eastAsia="等线" w:cs="等线"/>
                <w:kern w:val="2"/>
                <w:lang w:eastAsia="zh-CN"/>
              </w:rPr>
            </w:pPr>
            <w:r>
              <w:rPr>
                <w:rFonts w:hint="eastAsia" w:ascii="等线" w:hAnsi="等线" w:eastAsia="等线" w:cs="等线"/>
                <w:kern w:val="2"/>
                <w:lang w:eastAsia="zh-CN"/>
              </w:rPr>
              <w:t>通贵乡（</w:t>
            </w:r>
            <w:r>
              <w:rPr>
                <w:rFonts w:hint="eastAsia" w:ascii="等线" w:hAnsi="等线" w:eastAsia="等线" w:cs="等线"/>
                <w:kern w:val="2"/>
                <w:lang w:val="en-US" w:eastAsia="zh-CN"/>
              </w:rPr>
              <w:t>河滩村、通南村、通贵村、通北村</w:t>
            </w:r>
            <w:r>
              <w:rPr>
                <w:rFonts w:hint="eastAsia" w:ascii="等线" w:hAnsi="等线" w:eastAsia="等线" w:cs="等线"/>
                <w:kern w:val="2"/>
                <w:lang w:eastAsia="zh-CN"/>
              </w:rPr>
              <w:t>）</w:t>
            </w:r>
          </w:p>
        </w:tc>
      </w:tr>
    </w:tbl>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3.评价依据</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1.《中华人民共和国环境保护法》</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2.《中华人民共和国土地管理法》</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3.《土地管理法实施条例》</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4.《中华人民共和国河道管理条例》</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5.《生态立市战略银川三年行动计划（2018-2020）》（银党办〔2019〕134号）</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6.《黄河银川段两岸河滩地收回整治生态修复工作方案》（银政办发〔2019〕127号）</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7.《兴庆区河滩地收回实施方案》（银兴政办发〔2019〕70号）</w:t>
      </w:r>
    </w:p>
    <w:p>
      <w:pPr>
        <w:pStyle w:val="4"/>
        <w:widowControl w:val="0"/>
        <w:spacing w:before="0" w:line="360" w:lineRule="auto"/>
        <w:ind w:firstLine="562" w:firstLineChars="200"/>
        <w:jc w:val="both"/>
        <w:rPr>
          <w:rFonts w:ascii="仿宋" w:hAnsi="仿宋" w:eastAsia="仿宋" w:cs="仿宋"/>
          <w:sz w:val="28"/>
          <w:szCs w:val="28"/>
          <w:lang w:eastAsia="zh-CN"/>
        </w:rPr>
      </w:pPr>
      <w:bookmarkStart w:id="84" w:name="_Toc461976048"/>
      <w:bookmarkStart w:id="85" w:name="_Toc490135634"/>
      <w:bookmarkStart w:id="86" w:name="_Toc517105123"/>
      <w:bookmarkStart w:id="87" w:name="_Toc1084"/>
      <w:bookmarkStart w:id="88" w:name="_Toc8939"/>
      <w:bookmarkStart w:id="89" w:name="_Toc19628"/>
      <w:bookmarkStart w:id="90" w:name="_Toc29760"/>
      <w:bookmarkStart w:id="91" w:name="_Toc12896"/>
      <w:r>
        <w:rPr>
          <w:rFonts w:hint="eastAsia" w:ascii="仿宋" w:hAnsi="仿宋" w:eastAsia="仿宋" w:cs="仿宋"/>
          <w:sz w:val="28"/>
          <w:szCs w:val="28"/>
          <w:lang w:eastAsia="zh-CN"/>
        </w:rPr>
        <w:t>（二）绩效评价</w:t>
      </w:r>
      <w:bookmarkEnd w:id="84"/>
      <w:bookmarkEnd w:id="85"/>
      <w:bookmarkEnd w:id="86"/>
      <w:r>
        <w:rPr>
          <w:rFonts w:hint="eastAsia" w:ascii="仿宋" w:hAnsi="仿宋" w:eastAsia="仿宋" w:cs="仿宋"/>
          <w:sz w:val="28"/>
          <w:szCs w:val="28"/>
          <w:lang w:eastAsia="zh-CN"/>
        </w:rPr>
        <w:t>原则、评价指标体系、评价方法、评分标准</w:t>
      </w:r>
      <w:bookmarkEnd w:id="87"/>
      <w:bookmarkEnd w:id="88"/>
      <w:bookmarkEnd w:id="89"/>
      <w:bookmarkEnd w:id="90"/>
      <w:bookmarkEnd w:id="91"/>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92" w:name="_Toc17469"/>
      <w:r>
        <w:rPr>
          <w:rFonts w:hint="eastAsia" w:ascii="仿宋" w:hAnsi="仿宋" w:eastAsia="仿宋" w:cs="仿宋"/>
          <w:b/>
          <w:bCs/>
          <w:kern w:val="2"/>
          <w:sz w:val="28"/>
          <w:szCs w:val="28"/>
          <w:lang w:eastAsia="zh-CN"/>
        </w:rPr>
        <w:t>1.评价原则</w:t>
      </w:r>
      <w:bookmarkEnd w:id="92"/>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绩效评价应当遵循以下基本原则：</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科学公正。绩效评价应当运用科学合理的方法，按照规范的程序，对项目绩效进行客观、公正的反映。在数据采集时，采取客观数据，主管部门审查、社会中介组织复查，与问卷调查相结合的形式，以保证各项指标的真实性。</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（2）统筹兼顾。绩效评价应职责明确，各有侧重，相互衔接。保证评价结果的真实性、公正性，提高评价报告的公信力。</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（3）激励约束。绩效评价结果应与预算安排、政策调整、改进管理实质性挂钩，体现奖优罚劣和激励相容导向，有效要安排、低效要压减、无效要问责。</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（4）公开透明。绩效评价结果应依法依规公开，并自觉接受社会监督。还应总结经验，指出问题，并就共性问题提出可操作性改进建议。</w:t>
      </w:r>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93" w:name="_Toc4567"/>
      <w:r>
        <w:rPr>
          <w:rFonts w:hint="eastAsia" w:ascii="仿宋" w:hAnsi="仿宋" w:eastAsia="仿宋" w:cs="仿宋"/>
          <w:b/>
          <w:bCs/>
          <w:kern w:val="2"/>
          <w:sz w:val="28"/>
          <w:szCs w:val="28"/>
          <w:lang w:eastAsia="zh-CN"/>
        </w:rPr>
        <w:t>2.绩效评价方法</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本次绩效评价采用的方法有指标评价法、社会调查法、因素分析法、比较法等。</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结合项目实施内容和绩效目标，参照《财政部关于印发&lt;项目支出绩效评价管理办法&gt;的通知》（财预〔2020〕10号）文件中的项目支出绩效评价共性指标框架设计，包括项目决策、项目管理、项目产出、项目效益四类指标，主要围绕资金分配、资金管理、项目执行、产出效益等方面，客观分析项目的产出和效果，从而考察项目政策落实范围匹配性、预算编制与构成合理性，进而提出完善意见。整个评价框架构成体现从投入、组织实施到产出、效果和影响的绩效逻辑路径。</w:t>
      </w:r>
      <w:bookmarkEnd w:id="93"/>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94" w:name="_Toc517105125"/>
      <w:bookmarkStart w:id="95" w:name="_Toc461976050"/>
      <w:bookmarkStart w:id="96" w:name="_Toc518921564"/>
      <w:bookmarkStart w:id="97" w:name="_Toc490135636"/>
      <w:r>
        <w:rPr>
          <w:rFonts w:hint="eastAsia" w:ascii="仿宋" w:hAnsi="仿宋" w:eastAsia="仿宋" w:cs="仿宋"/>
          <w:b/>
          <w:bCs/>
          <w:kern w:val="2"/>
          <w:sz w:val="28"/>
          <w:szCs w:val="28"/>
          <w:lang w:eastAsia="zh-CN"/>
        </w:rPr>
        <w:t>3.</w:t>
      </w:r>
      <w:bookmarkEnd w:id="94"/>
      <w:bookmarkEnd w:id="95"/>
      <w:bookmarkEnd w:id="96"/>
      <w:bookmarkEnd w:id="97"/>
      <w:r>
        <w:rPr>
          <w:rFonts w:hint="eastAsia" w:ascii="仿宋" w:hAnsi="仿宋" w:eastAsia="仿宋" w:cs="仿宋"/>
          <w:b/>
          <w:bCs/>
          <w:kern w:val="2"/>
          <w:sz w:val="28"/>
          <w:szCs w:val="28"/>
          <w:lang w:eastAsia="zh-CN"/>
        </w:rPr>
        <w:t>绩效评价指标体系</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绩效评价指标体系依据《财政支出绩效评价管理办法》（财预〔2020〕10号），结合项目绩效目标，主要围绕资金筹集、资金分配、政策公开、产出效益等方面，客观分析项目的产出和效果，从而考察项目政策落实范围匹配性、预算编制与构成合理性，进而提出完善意见。整个评价框架构成体现从投入、组织实施到产出、效果和影响的绩效逻辑路径。详见下表：</w:t>
      </w:r>
    </w:p>
    <w:p>
      <w:pPr>
        <w:widowControl w:val="0"/>
        <w:spacing w:after="0" w:line="360" w:lineRule="auto"/>
        <w:jc w:val="center"/>
        <w:rPr>
          <w:rFonts w:ascii="等线" w:hAnsi="等线" w:eastAsia="等线" w:cs="等线"/>
          <w:b/>
          <w:color w:val="000000"/>
          <w:kern w:val="2"/>
          <w:lang w:eastAsia="zh-CN"/>
        </w:rPr>
      </w:pPr>
      <w:bookmarkStart w:id="98" w:name="_Toc461976049"/>
      <w:bookmarkStart w:id="99" w:name="_Toc32594"/>
      <w:bookmarkStart w:id="100" w:name="_Toc490135635"/>
      <w:bookmarkStart w:id="101" w:name="_Toc4113"/>
      <w:bookmarkStart w:id="102" w:name="_Toc517105124"/>
      <w:r>
        <w:rPr>
          <w:rFonts w:hint="eastAsia" w:ascii="等线" w:hAnsi="等线" w:eastAsia="等线" w:cs="等线"/>
          <w:b/>
          <w:color w:val="000000"/>
          <w:kern w:val="2"/>
          <w:lang w:eastAsia="zh-CN"/>
        </w:rPr>
        <w:t>2022年黄河银川段两岸河滩地收回整治生态修复项目指标体系表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927"/>
        <w:gridCol w:w="2975"/>
        <w:gridCol w:w="115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一级指标</w:t>
            </w:r>
          </w:p>
        </w:tc>
        <w:tc>
          <w:tcPr>
            <w:tcW w:w="0" w:type="auto"/>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二级指标</w:t>
            </w:r>
          </w:p>
        </w:tc>
        <w:tc>
          <w:tcPr>
            <w:tcW w:w="2975" w:type="dxa"/>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三级指标</w:t>
            </w:r>
          </w:p>
        </w:tc>
        <w:tc>
          <w:tcPr>
            <w:tcW w:w="1150" w:type="dxa"/>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权重</w:t>
            </w:r>
          </w:p>
        </w:tc>
        <w:tc>
          <w:tcPr>
            <w:tcW w:w="1296" w:type="dxa"/>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项目决策</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（15分）</w:t>
            </w:r>
          </w:p>
        </w:tc>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项目立项</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立项依据充分性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立项程序规范性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绩效目标</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绩效目标合理性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绩效指标明确性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资金投入</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预算编制科学性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资金分配合理性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项目管理</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（25分）</w:t>
            </w:r>
          </w:p>
        </w:tc>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资金管理</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（13分）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资金到位率</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预算执行率</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资金使用合规性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组织实施</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（12分）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管理制度健全性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健全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0" w:type="auto"/>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制度执行有效性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vAlign w:val="center"/>
          </w:tcPr>
          <w:p>
            <w:pPr>
              <w:spacing w:after="0" w:line="360" w:lineRule="auto"/>
              <w:jc w:val="both"/>
              <w:rPr>
                <w:rFonts w:ascii="等线" w:hAnsi="等线" w:eastAsia="等线" w:cs="等线"/>
                <w:color w:val="000000"/>
                <w:lang w:eastAsia="zh-CN"/>
              </w:rPr>
            </w:pPr>
            <w:r>
              <w:rPr>
                <w:rFonts w:hint="eastAsia" w:ascii="等线" w:hAnsi="等线" w:eastAsia="等线" w:cs="等线"/>
                <w:color w:val="000000"/>
                <w:lang w:eastAsia="zh-CN"/>
              </w:rPr>
              <w:t>项目产出</w:t>
            </w:r>
          </w:p>
          <w:p>
            <w:pPr>
              <w:spacing w:after="0" w:line="360" w:lineRule="auto"/>
              <w:jc w:val="both"/>
              <w:rPr>
                <w:rFonts w:ascii="等线" w:hAnsi="等线" w:eastAsia="等线" w:cs="等线"/>
                <w:color w:val="000000"/>
                <w:lang w:eastAsia="zh-CN"/>
              </w:rPr>
            </w:pPr>
            <w:r>
              <w:rPr>
                <w:rFonts w:hint="eastAsia" w:ascii="等线" w:hAnsi="等线" w:eastAsia="等线" w:cs="等线"/>
                <w:color w:val="000000"/>
                <w:lang w:eastAsia="zh-CN"/>
              </w:rPr>
              <w:t>（32分）</w:t>
            </w:r>
          </w:p>
        </w:tc>
        <w:tc>
          <w:tcPr>
            <w:tcW w:w="1927" w:type="dxa"/>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产出数量</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兑付户数</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444户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vMerge w:val="continue"/>
            <w:vAlign w:val="center"/>
          </w:tcPr>
          <w:p>
            <w:pPr>
              <w:spacing w:after="0" w:line="360" w:lineRule="auto"/>
              <w:jc w:val="center"/>
              <w:rPr>
                <w:rFonts w:ascii="等线" w:hAnsi="等线" w:eastAsia="等线" w:cs="等线"/>
                <w:color w:val="000000"/>
                <w:lang w:eastAsia="zh-CN"/>
              </w:rPr>
            </w:pPr>
          </w:p>
        </w:tc>
        <w:tc>
          <w:tcPr>
            <w:tcW w:w="1927" w:type="dxa"/>
            <w:vMerge w:val="continue"/>
            <w:vAlign w:val="center"/>
          </w:tcPr>
          <w:p>
            <w:pPr>
              <w:spacing w:after="0" w:line="360" w:lineRule="auto"/>
              <w:jc w:val="center"/>
              <w:rPr>
                <w:rFonts w:ascii="等线" w:hAnsi="等线" w:eastAsia="等线" w:cs="等线"/>
                <w:color w:val="000000"/>
                <w:lang w:eastAsia="zh-CN"/>
              </w:rPr>
            </w:pP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收回流转责任地</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4043.65亩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vMerge w:val="continue"/>
            <w:vAlign w:val="center"/>
          </w:tcPr>
          <w:p>
            <w:pPr>
              <w:spacing w:after="0" w:line="360" w:lineRule="auto"/>
              <w:jc w:val="center"/>
              <w:rPr>
                <w:rFonts w:ascii="等线" w:hAnsi="等线" w:eastAsia="等线" w:cs="等线"/>
                <w:color w:val="000000"/>
                <w:lang w:eastAsia="zh-CN"/>
              </w:rPr>
            </w:pPr>
          </w:p>
        </w:tc>
        <w:tc>
          <w:tcPr>
            <w:tcW w:w="1927"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产出质量</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土地收回并达到生态修复条件</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174" w:type="dxa"/>
            <w:vMerge w:val="continue"/>
            <w:vAlign w:val="center"/>
          </w:tcPr>
          <w:p>
            <w:pPr>
              <w:spacing w:after="0" w:line="360" w:lineRule="auto"/>
              <w:jc w:val="center"/>
              <w:rPr>
                <w:rFonts w:ascii="等线" w:hAnsi="等线" w:eastAsia="等线" w:cs="等线"/>
                <w:color w:val="000000"/>
                <w:lang w:eastAsia="zh-CN"/>
              </w:rPr>
            </w:pPr>
          </w:p>
        </w:tc>
        <w:tc>
          <w:tcPr>
            <w:tcW w:w="1927"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产出时效</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（6分）</w:t>
            </w:r>
          </w:p>
        </w:tc>
        <w:tc>
          <w:tcPr>
            <w:tcW w:w="2975"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流转费兑付及时性</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vAlign w:val="center"/>
          </w:tcPr>
          <w:p>
            <w:pPr>
              <w:spacing w:after="0" w:line="360" w:lineRule="auto"/>
              <w:jc w:val="center"/>
              <w:rPr>
                <w:rFonts w:ascii="等线" w:hAnsi="等线" w:eastAsia="等线" w:cs="等线"/>
                <w:color w:val="000000"/>
                <w:lang w:eastAsia="zh-CN"/>
              </w:rPr>
            </w:pPr>
          </w:p>
        </w:tc>
        <w:tc>
          <w:tcPr>
            <w:tcW w:w="1927" w:type="dxa"/>
            <w:vMerge w:val="restart"/>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产出成本</w:t>
            </w:r>
          </w:p>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（10分）</w:t>
            </w:r>
          </w:p>
        </w:tc>
        <w:tc>
          <w:tcPr>
            <w:tcW w:w="2975"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项目成本控制</w:t>
            </w:r>
          </w:p>
        </w:tc>
        <w:tc>
          <w:tcPr>
            <w:tcW w:w="1150"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6%</w:t>
            </w:r>
          </w:p>
        </w:tc>
        <w:tc>
          <w:tcPr>
            <w:tcW w:w="1296"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≤242.619万元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vAlign w:val="center"/>
          </w:tcPr>
          <w:p>
            <w:pPr>
              <w:spacing w:after="0" w:line="360" w:lineRule="auto"/>
              <w:jc w:val="center"/>
              <w:rPr>
                <w:rFonts w:ascii="等线" w:hAnsi="等线" w:eastAsia="等线" w:cs="等线"/>
                <w:color w:val="000000"/>
                <w:lang w:eastAsia="zh-CN"/>
              </w:rPr>
            </w:pPr>
          </w:p>
        </w:tc>
        <w:tc>
          <w:tcPr>
            <w:tcW w:w="1927" w:type="dxa"/>
            <w:vMerge w:val="continue"/>
            <w:vAlign w:val="center"/>
          </w:tcPr>
          <w:p>
            <w:pPr>
              <w:spacing w:after="0" w:line="360" w:lineRule="auto"/>
              <w:jc w:val="center"/>
              <w:rPr>
                <w:rFonts w:ascii="等线" w:hAnsi="等线" w:eastAsia="等线" w:cs="等线"/>
                <w:color w:val="000000"/>
                <w:highlight w:val="none"/>
                <w:lang w:eastAsia="zh-CN"/>
              </w:rPr>
            </w:pPr>
          </w:p>
        </w:tc>
        <w:tc>
          <w:tcPr>
            <w:tcW w:w="2975"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补助标准</w:t>
            </w:r>
          </w:p>
        </w:tc>
        <w:tc>
          <w:tcPr>
            <w:tcW w:w="1150"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4%</w:t>
            </w:r>
          </w:p>
        </w:tc>
        <w:tc>
          <w:tcPr>
            <w:tcW w:w="1296" w:type="dxa"/>
            <w:vAlign w:val="center"/>
          </w:tcPr>
          <w:p>
            <w:pPr>
              <w:spacing w:after="0" w:line="36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600元/亩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项目效益</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（28分）</w:t>
            </w:r>
          </w:p>
        </w:tc>
        <w:tc>
          <w:tcPr>
            <w:tcW w:w="1927"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社会效益</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（4分）</w:t>
            </w:r>
          </w:p>
        </w:tc>
        <w:tc>
          <w:tcPr>
            <w:tcW w:w="2975"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带动周边旅游业发展</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1927" w:type="dxa"/>
            <w:vMerge w:val="restart"/>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生态效益</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（10分）</w:t>
            </w:r>
          </w:p>
        </w:tc>
        <w:tc>
          <w:tcPr>
            <w:tcW w:w="2975"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净化水质</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1927" w:type="dxa"/>
            <w:vMerge w:val="continue"/>
            <w:vAlign w:val="center"/>
          </w:tcPr>
          <w:p>
            <w:pPr>
              <w:spacing w:after="0" w:line="240" w:lineRule="auto"/>
              <w:jc w:val="center"/>
              <w:rPr>
                <w:rFonts w:ascii="等线" w:hAnsi="等线" w:eastAsia="等线" w:cs="等线"/>
                <w:color w:val="000000"/>
                <w:lang w:eastAsia="zh-CN"/>
              </w:rPr>
            </w:pPr>
          </w:p>
        </w:tc>
        <w:tc>
          <w:tcPr>
            <w:tcW w:w="2975"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减少区域水土流失</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1927"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可持续影响</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（4分）</w:t>
            </w:r>
          </w:p>
        </w:tc>
        <w:tc>
          <w:tcPr>
            <w:tcW w:w="2975"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lang w:eastAsia="zh-CN"/>
              </w:rPr>
              <w:t>河滩地修复</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spacing w:after="0" w:line="360" w:lineRule="auto"/>
              <w:jc w:val="center"/>
              <w:rPr>
                <w:rFonts w:ascii="等线" w:hAnsi="等线" w:eastAsia="等线" w:cs="等线"/>
                <w:color w:val="000000"/>
                <w:lang w:eastAsia="zh-CN"/>
              </w:rPr>
            </w:pPr>
          </w:p>
        </w:tc>
        <w:tc>
          <w:tcPr>
            <w:tcW w:w="1927"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满意度</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（10分）</w:t>
            </w:r>
          </w:p>
        </w:tc>
        <w:tc>
          <w:tcPr>
            <w:tcW w:w="2975" w:type="dxa"/>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受益群众满意度</w:t>
            </w:r>
          </w:p>
        </w:tc>
        <w:tc>
          <w:tcPr>
            <w:tcW w:w="115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10%</w:t>
            </w:r>
          </w:p>
        </w:tc>
        <w:tc>
          <w:tcPr>
            <w:tcW w:w="1296"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w:t>
            </w:r>
            <w:r>
              <w:rPr>
                <w:rFonts w:hint="eastAsia" w:ascii="等线" w:hAnsi="等线" w:eastAsia="等线" w:cs="等线"/>
                <w:color w:val="000000"/>
                <w:lang w:val="en-US" w:eastAsia="zh-CN"/>
              </w:rPr>
              <w:t>90</w:t>
            </w:r>
            <w:r>
              <w:rPr>
                <w:rFonts w:hint="eastAsia" w:ascii="等线" w:hAnsi="等线" w:eastAsia="等线" w:cs="等线"/>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6" w:type="dxa"/>
            <w:gridSpan w:val="3"/>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合计</w:t>
            </w:r>
          </w:p>
        </w:tc>
        <w:tc>
          <w:tcPr>
            <w:tcW w:w="1150" w:type="dxa"/>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100%</w:t>
            </w:r>
          </w:p>
        </w:tc>
        <w:tc>
          <w:tcPr>
            <w:tcW w:w="1296" w:type="dxa"/>
            <w:vAlign w:val="center"/>
          </w:tcPr>
          <w:p>
            <w:pPr>
              <w:spacing w:after="0" w:line="360" w:lineRule="auto"/>
              <w:jc w:val="center"/>
              <w:rPr>
                <w:rFonts w:ascii="等线" w:hAnsi="等线" w:eastAsia="等线" w:cs="等线"/>
                <w:b/>
                <w:bCs/>
                <w:color w:val="000000"/>
                <w:lang w:eastAsia="zh-CN"/>
              </w:rPr>
            </w:pPr>
          </w:p>
        </w:tc>
      </w:tr>
      <w:bookmarkEnd w:id="98"/>
      <w:bookmarkEnd w:id="99"/>
      <w:bookmarkEnd w:id="100"/>
      <w:bookmarkEnd w:id="101"/>
      <w:bookmarkEnd w:id="102"/>
    </w:tbl>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4.绩效评价标准</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绩效评价标准通常包括计划标准、行业标准、历史标准等，用于对绩效指标完成情况进行比较。</w:t>
      </w:r>
    </w:p>
    <w:p>
      <w:pPr>
        <w:widowControl w:val="0"/>
        <w:spacing w:after="0" w:line="360" w:lineRule="auto"/>
        <w:ind w:firstLine="561"/>
        <w:jc w:val="both"/>
        <w:rPr>
          <w:rFonts w:ascii="仿宋" w:hAnsi="仿宋" w:eastAsia="仿宋" w:cs="仿宋"/>
          <w:kern w:val="2"/>
          <w:sz w:val="28"/>
          <w:szCs w:val="28"/>
          <w:lang w:eastAsia="zh-CN"/>
        </w:rPr>
      </w:pPr>
      <w:r>
        <w:rPr>
          <w:rFonts w:hint="eastAsia" w:ascii="仿宋" w:hAnsi="仿宋" w:eastAsia="仿宋" w:cs="仿宋"/>
          <w:b/>
          <w:bCs/>
          <w:kern w:val="2"/>
          <w:sz w:val="28"/>
          <w:szCs w:val="28"/>
          <w:lang w:eastAsia="zh-CN"/>
        </w:rPr>
        <w:t>（1）计划标准：</w:t>
      </w:r>
      <w:r>
        <w:rPr>
          <w:rFonts w:hint="eastAsia" w:ascii="仿宋" w:hAnsi="仿宋" w:eastAsia="仿宋" w:cs="仿宋"/>
          <w:kern w:val="2"/>
          <w:sz w:val="28"/>
          <w:szCs w:val="28"/>
          <w:lang w:eastAsia="zh-CN"/>
        </w:rPr>
        <w:t>预先制定的目标、计划、预算、定额等作为评价标准。</w:t>
      </w:r>
    </w:p>
    <w:p>
      <w:pPr>
        <w:widowControl w:val="0"/>
        <w:spacing w:after="0" w:line="360" w:lineRule="auto"/>
        <w:ind w:firstLine="561"/>
        <w:jc w:val="both"/>
        <w:rPr>
          <w:rFonts w:ascii="仿宋" w:hAnsi="仿宋" w:eastAsia="仿宋" w:cs="仿宋"/>
          <w:kern w:val="2"/>
          <w:sz w:val="28"/>
          <w:szCs w:val="28"/>
          <w:lang w:eastAsia="zh-CN"/>
        </w:rPr>
      </w:pPr>
      <w:r>
        <w:rPr>
          <w:rFonts w:hint="eastAsia" w:ascii="仿宋" w:hAnsi="仿宋" w:eastAsia="仿宋" w:cs="仿宋"/>
          <w:b/>
          <w:bCs/>
          <w:kern w:val="2"/>
          <w:sz w:val="28"/>
          <w:szCs w:val="28"/>
          <w:lang w:eastAsia="zh-CN"/>
        </w:rPr>
        <w:t>（2）行业标准：</w:t>
      </w:r>
      <w:r>
        <w:rPr>
          <w:rFonts w:hint="eastAsia" w:ascii="仿宋" w:hAnsi="仿宋" w:eastAsia="仿宋" w:cs="仿宋"/>
          <w:kern w:val="2"/>
          <w:sz w:val="28"/>
          <w:szCs w:val="28"/>
          <w:lang w:eastAsia="zh-CN"/>
        </w:rPr>
        <w:t>参照国家公布的行业指标数据制定的评价标准。</w:t>
      </w:r>
    </w:p>
    <w:p>
      <w:pPr>
        <w:widowControl w:val="0"/>
        <w:spacing w:after="0" w:line="360" w:lineRule="auto"/>
        <w:ind w:firstLine="561"/>
        <w:jc w:val="both"/>
        <w:rPr>
          <w:rFonts w:ascii="仿宋" w:hAnsi="仿宋" w:eastAsia="仿宋" w:cs="仿宋"/>
          <w:kern w:val="2"/>
          <w:sz w:val="28"/>
          <w:szCs w:val="28"/>
          <w:lang w:val="zh-TW" w:eastAsia="zh-CN"/>
        </w:rPr>
      </w:pPr>
      <w:r>
        <w:rPr>
          <w:rFonts w:hint="eastAsia" w:ascii="仿宋" w:hAnsi="仿宋" w:eastAsia="仿宋" w:cs="仿宋"/>
          <w:b/>
          <w:bCs/>
          <w:kern w:val="2"/>
          <w:sz w:val="28"/>
          <w:szCs w:val="28"/>
          <w:lang w:eastAsia="zh-CN"/>
        </w:rPr>
        <w:t>（3）历史标准：</w:t>
      </w:r>
      <w:r>
        <w:rPr>
          <w:rFonts w:hint="eastAsia" w:ascii="仿宋" w:hAnsi="仿宋" w:eastAsia="仿宋" w:cs="仿宋"/>
          <w:kern w:val="2"/>
          <w:sz w:val="28"/>
          <w:szCs w:val="28"/>
          <w:lang w:eastAsia="zh-CN"/>
        </w:rPr>
        <w:t>参照历史数据制定的评价标准，为体现绩效改进的原则，在可实现的条件下应当确定相对比较高的评价标准</w:t>
      </w:r>
      <w:r>
        <w:rPr>
          <w:rFonts w:hint="eastAsia" w:ascii="仿宋" w:hAnsi="仿宋" w:eastAsia="仿宋" w:cs="仿宋"/>
          <w:kern w:val="2"/>
          <w:sz w:val="28"/>
          <w:szCs w:val="28"/>
          <w:lang w:val="zh-TW" w:eastAsia="zh-CN"/>
        </w:rPr>
        <w:t>。</w:t>
      </w:r>
    </w:p>
    <w:p>
      <w:pPr>
        <w:widowControl w:val="0"/>
        <w:spacing w:after="0" w:line="360" w:lineRule="auto"/>
        <w:ind w:firstLine="561"/>
        <w:jc w:val="both"/>
        <w:rPr>
          <w:rFonts w:ascii="仿宋" w:hAnsi="仿宋" w:eastAsia="仿宋" w:cs="仿宋"/>
          <w:kern w:val="2"/>
          <w:sz w:val="28"/>
          <w:szCs w:val="28"/>
          <w:lang w:eastAsia="zh-CN"/>
        </w:rPr>
      </w:pPr>
      <w:r>
        <w:rPr>
          <w:rFonts w:hint="eastAsia" w:ascii="仿宋" w:hAnsi="仿宋" w:eastAsia="仿宋" w:cs="仿宋"/>
          <w:b/>
          <w:bCs/>
          <w:kern w:val="2"/>
          <w:sz w:val="28"/>
          <w:szCs w:val="28"/>
          <w:lang w:eastAsia="zh-CN"/>
        </w:rPr>
        <w:t>（4）其他标准：</w:t>
      </w:r>
      <w:r>
        <w:rPr>
          <w:rFonts w:hint="eastAsia" w:ascii="仿宋" w:hAnsi="仿宋" w:eastAsia="仿宋" w:cs="仿宋"/>
          <w:kern w:val="2"/>
          <w:sz w:val="28"/>
          <w:szCs w:val="28"/>
          <w:lang w:eastAsia="zh-CN"/>
        </w:rPr>
        <w:t>财政部门和预算部门确认或认可的其他标准。</w:t>
      </w:r>
    </w:p>
    <w:p>
      <w:pPr>
        <w:widowControl w:val="0"/>
        <w:spacing w:after="0" w:line="360" w:lineRule="auto"/>
        <w:ind w:firstLine="561"/>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本次绩效评价采用“计划标准+历史标准”相结合的方式进行。</w:t>
      </w:r>
    </w:p>
    <w:p>
      <w:pPr>
        <w:widowControl w:val="0"/>
        <w:spacing w:after="0" w:line="360" w:lineRule="auto"/>
        <w:ind w:firstLine="562" w:firstLineChars="200"/>
        <w:jc w:val="both"/>
        <w:rPr>
          <w:rFonts w:ascii="仿宋" w:hAnsi="仿宋" w:eastAsia="仿宋" w:cs="仿宋"/>
          <w:b/>
          <w:kern w:val="2"/>
          <w:sz w:val="28"/>
          <w:szCs w:val="28"/>
          <w:lang w:eastAsia="zh-CN"/>
        </w:rPr>
      </w:pPr>
      <w:r>
        <w:rPr>
          <w:rFonts w:hint="eastAsia" w:ascii="仿宋" w:hAnsi="仿宋" w:eastAsia="仿宋" w:cs="仿宋"/>
          <w:b/>
          <w:kern w:val="2"/>
          <w:sz w:val="28"/>
          <w:szCs w:val="28"/>
          <w:lang w:eastAsia="zh-CN"/>
        </w:rPr>
        <w:t>5.绩效评价的局限性</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本次绩效评价采用“定量的指标体系打分评价”+“定性的调查信息的归纳和提炼”两种方式互相补充，来构成对本次项目的完整评价。评价指标设置的科学合理程度会影响评价结果的科学性。另外，调查问卷和访谈的主观性会对此次绩效评价产生一定局限性。</w:t>
      </w:r>
    </w:p>
    <w:p>
      <w:pPr>
        <w:pStyle w:val="4"/>
        <w:widowControl w:val="0"/>
        <w:spacing w:before="0" w:line="360" w:lineRule="auto"/>
        <w:ind w:firstLine="562" w:firstLineChars="200"/>
        <w:jc w:val="both"/>
        <w:rPr>
          <w:rFonts w:ascii="仿宋" w:hAnsi="仿宋" w:eastAsia="仿宋" w:cs="仿宋"/>
          <w:sz w:val="28"/>
          <w:szCs w:val="28"/>
          <w:lang w:eastAsia="zh-CN"/>
        </w:rPr>
      </w:pPr>
      <w:bookmarkStart w:id="103" w:name="_Toc30096"/>
      <w:bookmarkStart w:id="104" w:name="_Toc119851494"/>
      <w:bookmarkStart w:id="105" w:name="_Toc9401"/>
      <w:bookmarkStart w:id="106" w:name="_Toc6061"/>
      <w:r>
        <w:rPr>
          <w:rFonts w:hint="eastAsia" w:ascii="仿宋" w:hAnsi="仿宋" w:eastAsia="仿宋" w:cs="仿宋"/>
          <w:sz w:val="28"/>
          <w:szCs w:val="28"/>
          <w:lang w:eastAsia="zh-CN"/>
        </w:rPr>
        <w:t>（三）绩效评价工作方案制定过程</w:t>
      </w:r>
      <w:bookmarkEnd w:id="103"/>
      <w:bookmarkEnd w:id="104"/>
      <w:bookmarkEnd w:id="105"/>
      <w:bookmarkEnd w:id="106"/>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在对项目背景和执行过程进行调研的基础上，梳理本次绩效评价的内容和目标，并围绕项目绩效目标设计绩效评价指标体系、绩效评价所需资料清单、项目实施单位完成情况汇总表、访谈以及调查问卷。按照评价方案要求开展绩效评价工作，采集数据、分析项目绩效、撰写和提交报告。具体评价工作流程如下：</w:t>
      </w:r>
    </w:p>
    <w:p>
      <w:pPr>
        <w:widowControl w:val="0"/>
        <w:spacing w:after="0" w:line="360" w:lineRule="auto"/>
        <w:ind w:firstLine="562" w:firstLineChars="200"/>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1．前期准备</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1）成立评价小组，根据评价项目内容和实际情况，确定评价小组成员，并对项目组人员进行业务培训，包括对项目的理解，了解学习项目相关背景和内容、绩效目标和效果，统一评价思路和方法，落实评价任务；</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（2）评价前调研，与项目相关部门工作人员联系，收集相关资料、政策法规和行业资料，准备评价实施阶段所需收集的资料清单；</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（3）设计评价指标，编制项目评价方案和相关调查问卷；</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（4）初步征求委托方和项目实施单位意见，完善指标体系；</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（5）向委托方提交评价方案，并根据方案评审意见进行完善。</w:t>
      </w:r>
    </w:p>
    <w:p>
      <w:pPr>
        <w:widowControl w:val="0"/>
        <w:spacing w:after="0" w:line="360" w:lineRule="auto"/>
        <w:ind w:firstLine="562" w:firstLineChars="200"/>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2．现场评价</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（1）收集数据，包括对基础数据、问卷调查和访谈等数据的收集；</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（2）审核、分析数据，并计算评价结果；</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（3）编制工作底稿；</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（4）征求项目相关方的意见。</w:t>
      </w:r>
    </w:p>
    <w:p>
      <w:pPr>
        <w:widowControl w:val="0"/>
        <w:spacing w:after="0" w:line="360" w:lineRule="auto"/>
        <w:ind w:firstLine="562" w:firstLineChars="200"/>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3．撰写并提交评价报告</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（1）撰写评价报告初稿；</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（2）就评价初稿征求相关单位的意见；</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（3）向委托方提交评价报告，并根据报告评审意见进行修订，形成正式报告；</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（4）提交正式评价报告；</w:t>
      </w:r>
    </w:p>
    <w:p>
      <w:pPr>
        <w:widowControl w:val="0"/>
        <w:tabs>
          <w:tab w:val="left" w:pos="1026"/>
        </w:tabs>
        <w:spacing w:after="0" w:line="360" w:lineRule="auto"/>
        <w:ind w:firstLine="560" w:firstLineChars="200"/>
        <w:rPr>
          <w:rFonts w:ascii="仿宋" w:hAnsi="仿宋" w:eastAsia="仿宋" w:cs="仿宋"/>
          <w:kern w:val="2"/>
          <w:sz w:val="28"/>
          <w:szCs w:val="28"/>
          <w:lang w:eastAsia="zh-CN"/>
        </w:rPr>
      </w:pPr>
      <w:r>
        <w:rPr>
          <w:rFonts w:hint="eastAsia" w:ascii="仿宋" w:hAnsi="仿宋" w:eastAsia="仿宋" w:cs="仿宋"/>
          <w:kern w:val="2"/>
          <w:sz w:val="28"/>
          <w:szCs w:val="28"/>
          <w:lang w:eastAsia="zh-CN"/>
        </w:rPr>
        <w:t>（5）资料归档。</w:t>
      </w:r>
    </w:p>
    <w:p>
      <w:pPr>
        <w:pStyle w:val="3"/>
        <w:keepNext w:val="0"/>
        <w:keepLines w:val="0"/>
        <w:widowControl w:val="0"/>
        <w:spacing w:after="0" w:line="360" w:lineRule="auto"/>
        <w:rPr>
          <w:rFonts w:ascii="仿宋" w:hAnsi="仿宋" w:eastAsia="仿宋" w:cs="仿宋"/>
          <w:sz w:val="32"/>
          <w:szCs w:val="32"/>
          <w:lang w:eastAsia="zh-CN"/>
        </w:rPr>
      </w:pPr>
      <w:bookmarkStart w:id="107" w:name="_Toc119851495"/>
      <w:bookmarkStart w:id="108" w:name="_Toc14889"/>
      <w:bookmarkStart w:id="109" w:name="_Toc11975"/>
      <w:bookmarkStart w:id="110" w:name="_Toc29141"/>
      <w:r>
        <w:rPr>
          <w:rFonts w:hint="eastAsia" w:ascii="仿宋" w:hAnsi="仿宋" w:eastAsia="仿宋" w:cs="仿宋"/>
          <w:sz w:val="32"/>
          <w:szCs w:val="32"/>
          <w:lang w:eastAsia="zh-CN"/>
        </w:rPr>
        <w:t>三、综合评价情况及评价结论</w:t>
      </w:r>
      <w:bookmarkEnd w:id="107"/>
      <w:bookmarkEnd w:id="108"/>
      <w:bookmarkEnd w:id="109"/>
      <w:bookmarkEnd w:id="110"/>
    </w:p>
    <w:p>
      <w:pPr>
        <w:pStyle w:val="4"/>
        <w:widowControl w:val="0"/>
        <w:spacing w:before="0" w:line="360" w:lineRule="auto"/>
        <w:ind w:firstLine="562" w:firstLineChars="200"/>
        <w:rPr>
          <w:rFonts w:ascii="仿宋" w:hAnsi="仿宋" w:eastAsia="仿宋" w:cs="仿宋"/>
          <w:sz w:val="28"/>
          <w:szCs w:val="28"/>
          <w:lang w:eastAsia="zh-CN"/>
        </w:rPr>
      </w:pPr>
      <w:bookmarkStart w:id="111" w:name="_Toc490135640"/>
      <w:bookmarkStart w:id="112" w:name="_Toc461976053"/>
      <w:bookmarkStart w:id="113" w:name="_Toc517105129"/>
      <w:bookmarkStart w:id="114" w:name="_Toc11355"/>
      <w:bookmarkStart w:id="115" w:name="_Toc13880"/>
      <w:bookmarkStart w:id="116" w:name="_Toc22755"/>
      <w:bookmarkStart w:id="117" w:name="_Toc31991"/>
      <w:bookmarkStart w:id="118" w:name="_Toc119851496"/>
      <w:r>
        <w:rPr>
          <w:rFonts w:hint="eastAsia" w:ascii="仿宋" w:hAnsi="仿宋" w:eastAsia="仿宋" w:cs="仿宋"/>
          <w:sz w:val="28"/>
          <w:szCs w:val="28"/>
          <w:lang w:eastAsia="zh-CN"/>
        </w:rPr>
        <w:t>（一）</w:t>
      </w:r>
      <w:bookmarkEnd w:id="111"/>
      <w:bookmarkEnd w:id="112"/>
      <w:bookmarkEnd w:id="113"/>
      <w:r>
        <w:rPr>
          <w:rFonts w:hint="eastAsia" w:ascii="仿宋" w:hAnsi="仿宋" w:eastAsia="仿宋" w:cs="仿宋"/>
          <w:sz w:val="28"/>
          <w:szCs w:val="28"/>
          <w:lang w:eastAsia="zh-CN"/>
        </w:rPr>
        <w:t>综合评价</w:t>
      </w:r>
      <w:bookmarkEnd w:id="114"/>
      <w:bookmarkEnd w:id="115"/>
      <w:bookmarkEnd w:id="116"/>
      <w:bookmarkEnd w:id="117"/>
      <w:bookmarkEnd w:id="118"/>
    </w:p>
    <w:p>
      <w:pPr>
        <w:spacing w:after="0" w:line="360" w:lineRule="auto"/>
        <w:ind w:firstLine="560" w:firstLineChars="200"/>
        <w:jc w:val="both"/>
        <w:rPr>
          <w:rFonts w:ascii="仿宋" w:hAnsi="仿宋" w:eastAsia="仿宋" w:cs="仿宋"/>
          <w:kern w:val="2"/>
          <w:sz w:val="28"/>
          <w:szCs w:val="28"/>
          <w:highlight w:val="yellow"/>
          <w:lang w:eastAsia="zh-CN"/>
        </w:rPr>
      </w:pPr>
      <w:r>
        <w:rPr>
          <w:rFonts w:hint="eastAsia" w:ascii="仿宋" w:hAnsi="仿宋" w:eastAsia="仿宋" w:cs="仿宋"/>
          <w:kern w:val="2"/>
          <w:sz w:val="28"/>
          <w:szCs w:val="28"/>
          <w:lang w:eastAsia="zh-CN"/>
        </w:rPr>
        <w:t>为深入贯彻落实习近平生态文明思想，打好新时代黄河保卫战，建设“绿色、高端、和谐、宜居”美丽新银川，基本消除黄河银川段两岸损害黄河生态环境的突出问题，逐步恢复黄河银川段两岸自然生态本底，根据指标文件财预字（2021）第区44号文件，下达2022年黄河银川段两岸河滩地收回整治生态修复项目流转费242.619万元。</w:t>
      </w:r>
      <w:r>
        <w:rPr>
          <w:rFonts w:hint="eastAsia" w:ascii="仿宋" w:hAnsi="仿宋" w:eastAsia="仿宋" w:cs="仿宋_GB2312"/>
          <w:kern w:val="2"/>
          <w:sz w:val="28"/>
          <w:szCs w:val="28"/>
          <w:lang w:eastAsia="zh-CN"/>
        </w:rPr>
        <w:t>项目资金使用合规，产出基本达到预期。项目的实施促进了兴庆区河滩地的收回工作，推动了黄河银川段两岸生态修复的进程。</w:t>
      </w:r>
    </w:p>
    <w:p>
      <w:pPr>
        <w:pStyle w:val="4"/>
        <w:widowControl w:val="0"/>
        <w:spacing w:before="0" w:line="360" w:lineRule="auto"/>
        <w:ind w:firstLine="562" w:firstLineChars="200"/>
        <w:rPr>
          <w:rFonts w:ascii="仿宋" w:hAnsi="仿宋" w:eastAsia="仿宋" w:cs="仿宋"/>
          <w:sz w:val="28"/>
          <w:szCs w:val="28"/>
          <w:lang w:eastAsia="zh-CN"/>
        </w:rPr>
      </w:pPr>
      <w:bookmarkStart w:id="119" w:name="_Toc23897"/>
      <w:bookmarkStart w:id="120" w:name="_Toc16866"/>
      <w:bookmarkStart w:id="121" w:name="_Toc9430"/>
      <w:r>
        <w:rPr>
          <w:rFonts w:hint="eastAsia" w:ascii="仿宋" w:hAnsi="仿宋" w:eastAsia="仿宋" w:cs="仿宋"/>
          <w:sz w:val="28"/>
          <w:szCs w:val="28"/>
          <w:lang w:eastAsia="zh-CN"/>
        </w:rPr>
        <w:t>（二）评价结论</w:t>
      </w:r>
      <w:bookmarkEnd w:id="119"/>
      <w:bookmarkEnd w:id="120"/>
      <w:bookmarkEnd w:id="121"/>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评价小组根据绩效指标体系及评分标准，通过数据采集、问卷调查及访谈的方式，对2022年黄河银川段两岸河滩地收回整治生态修复项目评价，最终评价结果：总分77.00分，绩效评级为“合格”。绩效分值如下表：</w:t>
      </w:r>
    </w:p>
    <w:p>
      <w:pPr>
        <w:widowControl w:val="0"/>
        <w:spacing w:after="0" w:line="360" w:lineRule="auto"/>
        <w:jc w:val="center"/>
        <w:rPr>
          <w:rFonts w:ascii="等线" w:hAnsi="等线" w:eastAsia="等线" w:cs="等线"/>
          <w:b/>
          <w:bCs/>
          <w:kern w:val="2"/>
          <w:lang w:eastAsia="zh-CN"/>
        </w:rPr>
      </w:pPr>
      <w:r>
        <w:rPr>
          <w:rFonts w:hint="eastAsia" w:ascii="等线" w:hAnsi="等线" w:eastAsia="等线" w:cs="等线"/>
          <w:b/>
          <w:bCs/>
          <w:kern w:val="2"/>
          <w:lang w:eastAsia="zh-CN"/>
        </w:rPr>
        <w:t>项目绩效评价得分表</w:t>
      </w:r>
    </w:p>
    <w:tbl>
      <w:tblPr>
        <w:tblStyle w:val="15"/>
        <w:tblW w:w="0" w:type="auto"/>
        <w:jc w:val="center"/>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45"/>
        <w:gridCol w:w="1373"/>
        <w:gridCol w:w="1467"/>
        <w:gridCol w:w="1383"/>
        <w:gridCol w:w="1300"/>
        <w:gridCol w:w="1634"/>
      </w:tblGrid>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指标</w:t>
            </w:r>
          </w:p>
        </w:tc>
        <w:tc>
          <w:tcPr>
            <w:tcW w:w="1373"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项目决策</w:t>
            </w:r>
          </w:p>
        </w:tc>
        <w:tc>
          <w:tcPr>
            <w:tcW w:w="1467"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项目管理</w:t>
            </w:r>
          </w:p>
        </w:tc>
        <w:tc>
          <w:tcPr>
            <w:tcW w:w="1383"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项目产出</w:t>
            </w:r>
          </w:p>
        </w:tc>
        <w:tc>
          <w:tcPr>
            <w:tcW w:w="1300"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项目效益</w:t>
            </w:r>
          </w:p>
        </w:tc>
        <w:tc>
          <w:tcPr>
            <w:tcW w:w="1634" w:type="dxa"/>
            <w:tcBorders>
              <w:top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合计</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权重</w:t>
            </w:r>
          </w:p>
        </w:tc>
        <w:tc>
          <w:tcPr>
            <w:tcW w:w="137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15%</w:t>
            </w:r>
          </w:p>
        </w:tc>
        <w:tc>
          <w:tcPr>
            <w:tcW w:w="1467"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25%</w:t>
            </w:r>
          </w:p>
        </w:tc>
        <w:tc>
          <w:tcPr>
            <w:tcW w:w="138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32%</w:t>
            </w:r>
          </w:p>
        </w:tc>
        <w:tc>
          <w:tcPr>
            <w:tcW w:w="1300"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28%</w:t>
            </w:r>
          </w:p>
        </w:tc>
        <w:tc>
          <w:tcPr>
            <w:tcW w:w="1634"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100%</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得分</w:t>
            </w:r>
          </w:p>
        </w:tc>
        <w:tc>
          <w:tcPr>
            <w:tcW w:w="137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12.00</w:t>
            </w:r>
          </w:p>
        </w:tc>
        <w:tc>
          <w:tcPr>
            <w:tcW w:w="1467"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17.00</w:t>
            </w:r>
          </w:p>
        </w:tc>
        <w:tc>
          <w:tcPr>
            <w:tcW w:w="1383"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24.49</w:t>
            </w:r>
          </w:p>
        </w:tc>
        <w:tc>
          <w:tcPr>
            <w:tcW w:w="1300" w:type="dxa"/>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23.51</w:t>
            </w:r>
          </w:p>
        </w:tc>
        <w:tc>
          <w:tcPr>
            <w:tcW w:w="1634" w:type="dxa"/>
            <w:vAlign w:val="center"/>
          </w:tcPr>
          <w:p>
            <w:pPr>
              <w:widowControl w:val="0"/>
              <w:spacing w:after="0" w:line="360" w:lineRule="auto"/>
              <w:jc w:val="center"/>
              <w:rPr>
                <w:rFonts w:hint="default" w:ascii="等线" w:hAnsi="等线" w:eastAsia="等线" w:cs="等线"/>
                <w:kern w:val="2"/>
                <w:lang w:val="en-US" w:eastAsia="zh-CN"/>
              </w:rPr>
            </w:pPr>
            <w:r>
              <w:rPr>
                <w:rFonts w:hint="eastAsia" w:ascii="等线" w:hAnsi="等线" w:eastAsia="等线" w:cs="等线"/>
                <w:kern w:val="2"/>
                <w:lang w:eastAsia="zh-CN"/>
              </w:rPr>
              <w:t>77</w:t>
            </w:r>
            <w:r>
              <w:rPr>
                <w:rFonts w:hint="eastAsia" w:ascii="等线" w:hAnsi="等线" w:eastAsia="等线" w:cs="等线"/>
                <w:kern w:val="2"/>
                <w:lang w:val="en-US" w:eastAsia="zh-CN"/>
              </w:rPr>
              <w:t>.00</w:t>
            </w:r>
          </w:p>
        </w:tc>
      </w:tr>
      <w:tr>
        <w:tblPrEx>
          <w:tblBorders>
            <w:top w:val="single" w:color="000000" w:sz="4" w:space="0"/>
            <w:left w:val="single" w:color="auto" w:sz="4" w:space="0"/>
            <w:bottom w:val="single" w:color="000000"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5" w:type="dxa"/>
            <w:tcBorders>
              <w:bottom w:val="single" w:color="000000" w:sz="12" w:space="0"/>
            </w:tcBorders>
            <w:vAlign w:val="center"/>
          </w:tcPr>
          <w:p>
            <w:pPr>
              <w:widowControl w:val="0"/>
              <w:spacing w:after="0" w:line="360" w:lineRule="auto"/>
              <w:jc w:val="center"/>
              <w:rPr>
                <w:rFonts w:ascii="等线" w:hAnsi="等线" w:eastAsia="等线" w:cs="等线"/>
                <w:b/>
                <w:kern w:val="2"/>
                <w:lang w:eastAsia="zh-CN"/>
              </w:rPr>
            </w:pPr>
            <w:r>
              <w:rPr>
                <w:rFonts w:hint="eastAsia" w:ascii="等线" w:hAnsi="等线" w:eastAsia="等线" w:cs="等线"/>
                <w:b/>
                <w:kern w:val="2"/>
                <w:lang w:eastAsia="zh-CN"/>
              </w:rPr>
              <w:t>得分率</w:t>
            </w:r>
          </w:p>
        </w:tc>
        <w:tc>
          <w:tcPr>
            <w:tcW w:w="1373"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80%</w:t>
            </w:r>
          </w:p>
        </w:tc>
        <w:tc>
          <w:tcPr>
            <w:tcW w:w="1467"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68%</w:t>
            </w:r>
          </w:p>
        </w:tc>
        <w:tc>
          <w:tcPr>
            <w:tcW w:w="1383"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76.53%</w:t>
            </w:r>
          </w:p>
        </w:tc>
        <w:tc>
          <w:tcPr>
            <w:tcW w:w="1300"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83.96%</w:t>
            </w:r>
          </w:p>
        </w:tc>
        <w:tc>
          <w:tcPr>
            <w:tcW w:w="1634" w:type="dxa"/>
            <w:tcBorders>
              <w:bottom w:val="single" w:color="000000" w:sz="12" w:space="0"/>
            </w:tcBorders>
            <w:vAlign w:val="center"/>
          </w:tcPr>
          <w:p>
            <w:pPr>
              <w:widowControl w:val="0"/>
              <w:spacing w:after="0" w:line="360" w:lineRule="auto"/>
              <w:jc w:val="center"/>
              <w:rPr>
                <w:rFonts w:ascii="等线" w:hAnsi="等线" w:eastAsia="等线" w:cs="等线"/>
                <w:kern w:val="2"/>
                <w:lang w:eastAsia="zh-CN"/>
              </w:rPr>
            </w:pPr>
            <w:r>
              <w:rPr>
                <w:rFonts w:hint="eastAsia" w:ascii="等线" w:hAnsi="等线" w:eastAsia="等线" w:cs="等线"/>
                <w:kern w:val="2"/>
                <w:lang w:eastAsia="zh-CN"/>
              </w:rPr>
              <w:t>77.00%</w:t>
            </w:r>
          </w:p>
        </w:tc>
      </w:tr>
    </w:tbl>
    <w:p>
      <w:pPr>
        <w:pStyle w:val="3"/>
        <w:keepNext w:val="0"/>
        <w:keepLines w:val="0"/>
        <w:pageBreakBefore w:val="0"/>
        <w:widowControl w:val="0"/>
        <w:kinsoku/>
        <w:wordWrap/>
        <w:overflowPunct/>
        <w:topLinePunct w:val="0"/>
        <w:autoSpaceDE/>
        <w:autoSpaceDN/>
        <w:bidi w:val="0"/>
        <w:adjustRightInd/>
        <w:snapToGrid/>
        <w:spacing w:beforeLines="0" w:after="0" w:line="360" w:lineRule="auto"/>
        <w:ind w:firstLine="643" w:firstLineChars="200"/>
        <w:jc w:val="both"/>
        <w:textAlignment w:val="auto"/>
        <w:rPr>
          <w:rFonts w:ascii="仿宋" w:hAnsi="仿宋" w:eastAsia="仿宋" w:cs="仿宋"/>
          <w:sz w:val="32"/>
          <w:szCs w:val="32"/>
          <w:lang w:eastAsia="zh-CN"/>
        </w:rPr>
      </w:pPr>
      <w:bookmarkStart w:id="122" w:name="_Toc22660"/>
      <w:bookmarkStart w:id="123" w:name="_Toc30903"/>
      <w:bookmarkStart w:id="124" w:name="_Toc119851498"/>
      <w:bookmarkStart w:id="125" w:name="_Toc25799"/>
      <w:r>
        <w:rPr>
          <w:rFonts w:hint="eastAsia" w:ascii="仿宋" w:hAnsi="仿宋" w:eastAsia="仿宋" w:cs="仿宋"/>
          <w:sz w:val="32"/>
          <w:szCs w:val="32"/>
          <w:lang w:eastAsia="zh-CN"/>
        </w:rPr>
        <w:t>四、绩效评价指标分析</w:t>
      </w:r>
      <w:bookmarkEnd w:id="122"/>
      <w:bookmarkEnd w:id="123"/>
      <w:bookmarkEnd w:id="124"/>
      <w:bookmarkEnd w:id="125"/>
    </w:p>
    <w:p>
      <w:pPr>
        <w:keepNext w:val="0"/>
        <w:keepLines w:val="0"/>
        <w:pageBreakBefore w:val="0"/>
        <w:widowControl w:val="0"/>
        <w:tabs>
          <w:tab w:val="left" w:pos="1026"/>
        </w:tabs>
        <w:kinsoku/>
        <w:wordWrap/>
        <w:overflowPunct/>
        <w:topLinePunct w:val="0"/>
        <w:autoSpaceDE/>
        <w:autoSpaceDN/>
        <w:bidi w:val="0"/>
        <w:adjustRightInd/>
        <w:snapToGrid/>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通过调研、相关文件的解读、数据采集、问卷调查、访谈、数据分析，按照工作方案确定的指标体系及评分标准，对项目的各项指标完成情况进行客观分析，具体情况如下：</w:t>
      </w:r>
    </w:p>
    <w:p>
      <w:pPr>
        <w:pStyle w:val="18"/>
        <w:spacing w:before="0" w:after="0"/>
        <w:ind w:firstLine="562" w:firstLineChars="200"/>
        <w:jc w:val="both"/>
        <w:outlineLvl w:val="1"/>
        <w:rPr>
          <w:rStyle w:val="17"/>
          <w:rFonts w:ascii="仿宋" w:hAnsi="仿宋" w:eastAsia="仿宋" w:cs="仿宋"/>
          <w:kern w:val="0"/>
          <w:sz w:val="28"/>
          <w:szCs w:val="32"/>
        </w:rPr>
      </w:pPr>
      <w:bookmarkStart w:id="126" w:name="_Toc2813"/>
      <w:bookmarkStart w:id="127" w:name="_Toc119851499"/>
      <w:bookmarkStart w:id="128" w:name="_Toc1815"/>
      <w:bookmarkStart w:id="129" w:name="_Toc18288"/>
      <w:r>
        <w:rPr>
          <w:rStyle w:val="17"/>
          <w:rFonts w:hint="eastAsia" w:ascii="仿宋" w:hAnsi="仿宋" w:eastAsia="仿宋" w:cs="仿宋"/>
          <w:kern w:val="0"/>
          <w:sz w:val="28"/>
          <w:szCs w:val="32"/>
        </w:rPr>
        <w:t>（一）项目决策</w:t>
      </w:r>
      <w:bookmarkEnd w:id="126"/>
      <w:bookmarkEnd w:id="127"/>
      <w:bookmarkEnd w:id="128"/>
      <w:bookmarkEnd w:id="129"/>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项目决策类指标由3个二级指标和6个三级指标构成，权重分15分，实际得分12分。各指标实际值和绩效分值如下表所示：</w:t>
      </w:r>
    </w:p>
    <w:p>
      <w:pPr>
        <w:widowControl w:val="0"/>
        <w:spacing w:after="0" w:line="240" w:lineRule="auto"/>
        <w:jc w:val="center"/>
        <w:rPr>
          <w:rFonts w:ascii="等线" w:hAnsi="等线" w:eastAsia="等线" w:cs="等线"/>
          <w:b/>
          <w:color w:val="000000"/>
          <w:kern w:val="2"/>
          <w:lang w:eastAsia="zh-CN"/>
        </w:rPr>
      </w:pPr>
      <w:r>
        <w:rPr>
          <w:rFonts w:hint="eastAsia" w:ascii="等线" w:hAnsi="等线" w:eastAsia="等线" w:cs="等线"/>
          <w:b/>
          <w:color w:val="000000"/>
          <w:kern w:val="2"/>
          <w:lang w:eastAsia="zh-CN"/>
        </w:rPr>
        <w:t>项目决策指标及分值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10"/>
        <w:gridCol w:w="2270"/>
        <w:gridCol w:w="840"/>
        <w:gridCol w:w="106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81"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一级指标</w:t>
            </w:r>
          </w:p>
        </w:tc>
        <w:tc>
          <w:tcPr>
            <w:tcW w:w="1510"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二级指标</w:t>
            </w:r>
          </w:p>
        </w:tc>
        <w:tc>
          <w:tcPr>
            <w:tcW w:w="2270"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三级指标</w:t>
            </w:r>
          </w:p>
        </w:tc>
        <w:tc>
          <w:tcPr>
            <w:tcW w:w="840"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权重</w:t>
            </w:r>
          </w:p>
        </w:tc>
        <w:tc>
          <w:tcPr>
            <w:tcW w:w="1060"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实际值</w:t>
            </w:r>
          </w:p>
        </w:tc>
        <w:tc>
          <w:tcPr>
            <w:tcW w:w="1220" w:type="dxa"/>
            <w:tcBorders>
              <w:top w:val="single" w:color="auto" w:sz="12"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81" w:type="dxa"/>
            <w:vMerge w:val="restart"/>
            <w:vAlign w:val="center"/>
          </w:tcPr>
          <w:p>
            <w:pPr>
              <w:spacing w:after="0" w:line="360" w:lineRule="auto"/>
              <w:jc w:val="both"/>
              <w:rPr>
                <w:rFonts w:ascii="等线" w:hAnsi="等线" w:eastAsia="等线" w:cs="等线"/>
                <w:color w:val="000000"/>
                <w:lang w:eastAsia="zh-CN"/>
              </w:rPr>
            </w:pPr>
            <w:r>
              <w:rPr>
                <w:rFonts w:hint="eastAsia" w:ascii="等线" w:hAnsi="等线" w:eastAsia="等线" w:cs="等线"/>
                <w:color w:val="000000"/>
                <w:lang w:eastAsia="zh-CN"/>
              </w:rPr>
              <w:t>项目决策（15分）</w:t>
            </w:r>
          </w:p>
        </w:tc>
        <w:tc>
          <w:tcPr>
            <w:tcW w:w="1510" w:type="dxa"/>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项目立项</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(5分)</w:t>
            </w: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立项依据充分性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充分</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81" w:type="dxa"/>
            <w:vMerge w:val="continue"/>
            <w:vAlign w:val="center"/>
          </w:tcPr>
          <w:p>
            <w:pPr>
              <w:spacing w:after="0" w:line="360" w:lineRule="auto"/>
              <w:jc w:val="center"/>
              <w:rPr>
                <w:rFonts w:ascii="等线" w:hAnsi="等线" w:eastAsia="等线" w:cs="等线"/>
                <w:color w:val="000000"/>
                <w:lang w:eastAsia="zh-CN"/>
              </w:rPr>
            </w:pPr>
          </w:p>
        </w:tc>
        <w:tc>
          <w:tcPr>
            <w:tcW w:w="1510" w:type="dxa"/>
            <w:vMerge w:val="continue"/>
            <w:vAlign w:val="center"/>
          </w:tcPr>
          <w:p>
            <w:pPr>
              <w:spacing w:after="0" w:line="360" w:lineRule="auto"/>
              <w:jc w:val="center"/>
              <w:rPr>
                <w:rFonts w:ascii="等线" w:hAnsi="等线" w:eastAsia="等线" w:cs="等线"/>
                <w:color w:val="000000"/>
                <w:lang w:eastAsia="zh-CN"/>
              </w:rPr>
            </w:pP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立项程序规范性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规范</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81" w:type="dxa"/>
            <w:vMerge w:val="continue"/>
            <w:vAlign w:val="center"/>
          </w:tcPr>
          <w:p>
            <w:pPr>
              <w:spacing w:after="0" w:line="360" w:lineRule="auto"/>
              <w:jc w:val="center"/>
              <w:rPr>
                <w:rFonts w:ascii="等线" w:hAnsi="等线" w:eastAsia="等线" w:cs="等线"/>
                <w:color w:val="000000"/>
                <w:lang w:eastAsia="zh-CN"/>
              </w:rPr>
            </w:pPr>
          </w:p>
        </w:tc>
        <w:tc>
          <w:tcPr>
            <w:tcW w:w="1510" w:type="dxa"/>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绩效目标</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（6分）</w:t>
            </w: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绩效目标合理性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合理</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81" w:type="dxa"/>
            <w:vMerge w:val="continue"/>
            <w:vAlign w:val="center"/>
          </w:tcPr>
          <w:p>
            <w:pPr>
              <w:spacing w:after="0" w:line="360" w:lineRule="auto"/>
              <w:jc w:val="center"/>
              <w:rPr>
                <w:rFonts w:ascii="等线" w:hAnsi="等线" w:eastAsia="等线" w:cs="等线"/>
                <w:color w:val="000000"/>
                <w:lang w:eastAsia="zh-CN"/>
              </w:rPr>
            </w:pPr>
          </w:p>
        </w:tc>
        <w:tc>
          <w:tcPr>
            <w:tcW w:w="1510" w:type="dxa"/>
            <w:vMerge w:val="continue"/>
            <w:vAlign w:val="center"/>
          </w:tcPr>
          <w:p>
            <w:pPr>
              <w:spacing w:after="0" w:line="360" w:lineRule="auto"/>
              <w:jc w:val="center"/>
              <w:rPr>
                <w:rFonts w:ascii="等线" w:hAnsi="等线" w:eastAsia="等线" w:cs="等线"/>
                <w:color w:val="000000"/>
                <w:lang w:eastAsia="zh-CN"/>
              </w:rPr>
            </w:pP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绩效指标明确性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明确</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81" w:type="dxa"/>
            <w:vMerge w:val="continue"/>
            <w:vAlign w:val="center"/>
          </w:tcPr>
          <w:p>
            <w:pPr>
              <w:spacing w:after="0" w:line="360" w:lineRule="auto"/>
              <w:jc w:val="center"/>
              <w:rPr>
                <w:rFonts w:ascii="等线" w:hAnsi="等线" w:eastAsia="等线" w:cs="等线"/>
                <w:color w:val="000000"/>
                <w:lang w:eastAsia="zh-CN"/>
              </w:rPr>
            </w:pPr>
          </w:p>
        </w:tc>
        <w:tc>
          <w:tcPr>
            <w:tcW w:w="1510" w:type="dxa"/>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资金投入</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（4分）</w:t>
            </w: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预算编制科学性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科学</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81" w:type="dxa"/>
            <w:vMerge w:val="continue"/>
            <w:vAlign w:val="center"/>
          </w:tcPr>
          <w:p>
            <w:pPr>
              <w:spacing w:after="0" w:line="360" w:lineRule="auto"/>
              <w:jc w:val="center"/>
              <w:rPr>
                <w:rFonts w:ascii="等线" w:hAnsi="等线" w:eastAsia="等线" w:cs="等线"/>
                <w:color w:val="000000"/>
                <w:lang w:eastAsia="zh-CN"/>
              </w:rPr>
            </w:pPr>
          </w:p>
        </w:tc>
        <w:tc>
          <w:tcPr>
            <w:tcW w:w="1510" w:type="dxa"/>
            <w:vMerge w:val="continue"/>
            <w:vAlign w:val="center"/>
          </w:tcPr>
          <w:p>
            <w:pPr>
              <w:spacing w:after="0" w:line="360" w:lineRule="auto"/>
              <w:jc w:val="center"/>
              <w:rPr>
                <w:rFonts w:ascii="等线" w:hAnsi="等线" w:eastAsia="等线" w:cs="等线"/>
                <w:color w:val="000000"/>
                <w:lang w:eastAsia="zh-CN"/>
              </w:rPr>
            </w:pPr>
          </w:p>
        </w:tc>
        <w:tc>
          <w:tcPr>
            <w:tcW w:w="227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资金分配合理性</w:t>
            </w:r>
          </w:p>
        </w:tc>
        <w:tc>
          <w:tcPr>
            <w:tcW w:w="84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w:t>
            </w:r>
          </w:p>
        </w:tc>
        <w:tc>
          <w:tcPr>
            <w:tcW w:w="106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合理</w:t>
            </w:r>
          </w:p>
        </w:tc>
        <w:tc>
          <w:tcPr>
            <w:tcW w:w="1220" w:type="dxa"/>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161" w:type="dxa"/>
            <w:gridSpan w:val="3"/>
            <w:tcBorders>
              <w:bottom w:val="single" w:color="auto" w:sz="12"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合计</w:t>
            </w:r>
          </w:p>
        </w:tc>
        <w:tc>
          <w:tcPr>
            <w:tcW w:w="840" w:type="dxa"/>
            <w:tcBorders>
              <w:bottom w:val="single" w:color="auto" w:sz="12"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15%</w:t>
            </w:r>
          </w:p>
        </w:tc>
        <w:tc>
          <w:tcPr>
            <w:tcW w:w="1060" w:type="dxa"/>
            <w:tcBorders>
              <w:bottom w:val="single" w:color="auto" w:sz="12" w:space="0"/>
            </w:tcBorders>
            <w:noWrap/>
            <w:vAlign w:val="center"/>
          </w:tcPr>
          <w:p>
            <w:pPr>
              <w:spacing w:after="0" w:line="360" w:lineRule="auto"/>
              <w:jc w:val="center"/>
              <w:rPr>
                <w:rFonts w:ascii="等线" w:hAnsi="等线" w:eastAsia="等线" w:cs="等线"/>
                <w:b/>
                <w:bCs/>
                <w:color w:val="000000"/>
                <w:lang w:eastAsia="zh-CN"/>
              </w:rPr>
            </w:pPr>
          </w:p>
        </w:tc>
        <w:tc>
          <w:tcPr>
            <w:tcW w:w="1220" w:type="dxa"/>
            <w:tcBorders>
              <w:bottom w:val="single" w:color="auto" w:sz="12"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12.00</w:t>
            </w:r>
          </w:p>
        </w:tc>
      </w:tr>
    </w:tbl>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1.立项依据充分性</w:t>
      </w:r>
    </w:p>
    <w:p>
      <w:pPr>
        <w:widowControl w:val="0"/>
        <w:spacing w:after="0" w:line="360" w:lineRule="auto"/>
        <w:ind w:firstLine="560" w:firstLineChars="200"/>
        <w:jc w:val="both"/>
        <w:rPr>
          <w:lang w:eastAsia="zh-CN"/>
        </w:rPr>
      </w:pPr>
      <w:r>
        <w:rPr>
          <w:rFonts w:hint="eastAsia" w:ascii="仿宋" w:hAnsi="仿宋" w:eastAsia="仿宋" w:cs="仿宋"/>
          <w:kern w:val="2"/>
          <w:sz w:val="28"/>
          <w:szCs w:val="28"/>
          <w:lang w:eastAsia="zh-CN"/>
        </w:rPr>
        <w:t>2022年黄河银川段两岸河滩地收回整治生态修复项目符合国家提出的习近平生态文明思想，践行“绿水青山就是金山银山”的理念。符合《自治区黄河银川段两岸河滩地收回整治生态修复工作方案》中“开展黄河银川段两岸河滩地收回和岸线生态廊道建设，建立长效保护机制，基本消除黄河银川段两岸损害黄河生态环境突出问题，逐步恢复黄河银川段两岸自然生态本底”的要求。</w:t>
      </w:r>
      <w:r>
        <w:rPr>
          <w:rFonts w:hint="eastAsia" w:ascii="仿宋" w:hAnsi="仿宋" w:eastAsia="仿宋"/>
          <w:sz w:val="28"/>
          <w:szCs w:val="28"/>
          <w:lang w:eastAsia="zh-CN"/>
        </w:rPr>
        <w:t>该指标满分3.00分，根据评分标准得3.00分。</w:t>
      </w:r>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2.立项程序规范性</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w:t>
      </w:r>
      <w:r>
        <w:rPr>
          <w:rFonts w:hint="eastAsia" w:ascii="仿宋" w:hAnsi="仿宋" w:eastAsia="仿宋" w:cs="仿宋"/>
          <w:kern w:val="2"/>
          <w:sz w:val="28"/>
          <w:szCs w:val="28"/>
          <w:lang w:val="en-US" w:eastAsia="zh-CN"/>
        </w:rPr>
        <w:t>经过中共银川市委专题会议</w:t>
      </w:r>
      <w:r>
        <w:rPr>
          <w:rFonts w:hint="eastAsia" w:ascii="仿宋" w:hAnsi="仿宋" w:eastAsia="仿宋" w:cs="仿宋"/>
          <w:kern w:val="2"/>
          <w:sz w:val="28"/>
          <w:szCs w:val="28"/>
          <w:lang w:eastAsia="zh-CN"/>
        </w:rPr>
        <w:t>（〔2019〕</w:t>
      </w:r>
      <w:r>
        <w:rPr>
          <w:rFonts w:hint="eastAsia" w:ascii="仿宋" w:hAnsi="仿宋" w:eastAsia="仿宋" w:cs="仿宋"/>
          <w:kern w:val="2"/>
          <w:sz w:val="28"/>
          <w:szCs w:val="28"/>
          <w:lang w:val="en-US" w:eastAsia="zh-CN"/>
        </w:rPr>
        <w:t>36</w:t>
      </w:r>
      <w:r>
        <w:rPr>
          <w:rFonts w:hint="eastAsia" w:ascii="仿宋" w:hAnsi="仿宋" w:eastAsia="仿宋" w:cs="仿宋"/>
          <w:kern w:val="2"/>
          <w:sz w:val="28"/>
          <w:szCs w:val="28"/>
          <w:lang w:eastAsia="zh-CN"/>
        </w:rPr>
        <w:t>号）</w:t>
      </w:r>
      <w:r>
        <w:rPr>
          <w:rFonts w:hint="eastAsia" w:ascii="仿宋" w:hAnsi="仿宋" w:eastAsia="仿宋" w:cs="仿宋"/>
          <w:kern w:val="2"/>
          <w:sz w:val="28"/>
          <w:szCs w:val="28"/>
          <w:lang w:val="en-US" w:eastAsia="zh-CN"/>
        </w:rPr>
        <w:t>决定开展工作并部署相关工作，</w:t>
      </w:r>
      <w:r>
        <w:rPr>
          <w:rFonts w:hint="eastAsia" w:ascii="仿宋" w:hAnsi="仿宋" w:eastAsia="仿宋" w:cs="仿宋"/>
          <w:kern w:val="2"/>
          <w:sz w:val="28"/>
          <w:szCs w:val="28"/>
          <w:lang w:eastAsia="zh-CN"/>
        </w:rPr>
        <w:t>依据“绿水青山就是金山银山”的理念，以“习近平生态文明思想”为指导，制定了《黄河银川段两岸河滩地收回整治生态修复工作方案》（银政办发〔2019〕127号）和《兴庆区河滩地收回实施方案》（银兴政办发〔2019〕70号）。</w:t>
      </w:r>
      <w:r>
        <w:rPr>
          <w:rFonts w:hint="eastAsia" w:ascii="仿宋" w:hAnsi="仿宋" w:eastAsia="仿宋"/>
          <w:sz w:val="28"/>
          <w:szCs w:val="28"/>
          <w:lang w:eastAsia="zh-CN"/>
        </w:rPr>
        <w:t>本项目立项程序规范，实施内容清晰明确</w:t>
      </w:r>
      <w:r>
        <w:rPr>
          <w:rFonts w:hint="eastAsia" w:ascii="仿宋" w:hAnsi="仿宋" w:eastAsia="仿宋"/>
          <w:sz w:val="28"/>
          <w:szCs w:val="28"/>
          <w:lang w:val="en-US" w:eastAsia="zh-CN"/>
        </w:rPr>
        <w:t>01</w:t>
      </w:r>
      <w:r>
        <w:rPr>
          <w:rFonts w:hint="eastAsia" w:ascii="仿宋" w:hAnsi="仿宋" w:eastAsia="仿宋"/>
          <w:sz w:val="28"/>
          <w:szCs w:val="28"/>
          <w:lang w:eastAsia="zh-CN"/>
        </w:rPr>
        <w:t>。该指标满分2.00分，根据评分标准得2.00分。</w:t>
      </w:r>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3.绩效目标合理性</w:t>
      </w:r>
    </w:p>
    <w:p>
      <w:pPr>
        <w:widowControl w:val="0"/>
        <w:spacing w:after="0" w:line="360" w:lineRule="auto"/>
        <w:ind w:firstLine="560" w:firstLineChars="200"/>
        <w:jc w:val="both"/>
        <w:rPr>
          <w:lang w:eastAsia="zh-CN"/>
        </w:rPr>
      </w:pPr>
      <w:r>
        <w:rPr>
          <w:rFonts w:hint="eastAsia" w:ascii="仿宋" w:hAnsi="仿宋" w:eastAsia="仿宋" w:cs="仿宋"/>
          <w:kern w:val="2"/>
          <w:sz w:val="28"/>
          <w:szCs w:val="28"/>
          <w:lang w:eastAsia="zh-CN"/>
        </w:rPr>
        <w:t>2022年黄河银川段两岸河滩地收回整治生态修复项目总目标为：坚持以习近平生态文明思</w:t>
      </w:r>
      <w:r>
        <w:rPr>
          <w:rFonts w:hint="eastAsia" w:ascii="仿宋" w:hAnsi="仿宋" w:eastAsia="仿宋" w:cs="仿宋"/>
          <w:kern w:val="2"/>
          <w:sz w:val="28"/>
          <w:szCs w:val="28"/>
          <w:highlight w:val="none"/>
          <w:lang w:eastAsia="zh-CN"/>
        </w:rPr>
        <w:t>想</w:t>
      </w:r>
      <w:r>
        <w:rPr>
          <w:rFonts w:hint="eastAsia" w:ascii="仿宋" w:hAnsi="仿宋" w:eastAsia="仿宋" w:cs="仿宋"/>
          <w:kern w:val="2"/>
          <w:sz w:val="28"/>
          <w:szCs w:val="28"/>
          <w:highlight w:val="none"/>
          <w:lang w:val="en-US" w:eastAsia="zh-CN"/>
        </w:rPr>
        <w:t>为指导</w:t>
      </w:r>
      <w:r>
        <w:rPr>
          <w:rFonts w:hint="eastAsia" w:ascii="仿宋" w:hAnsi="仿宋" w:eastAsia="仿宋" w:cs="仿宋"/>
          <w:kern w:val="2"/>
          <w:sz w:val="28"/>
          <w:szCs w:val="28"/>
          <w:highlight w:val="none"/>
          <w:lang w:eastAsia="zh-CN"/>
        </w:rPr>
        <w:t>，践</w:t>
      </w:r>
      <w:r>
        <w:rPr>
          <w:rFonts w:hint="eastAsia" w:ascii="仿宋" w:hAnsi="仿宋" w:eastAsia="仿宋" w:cs="仿宋"/>
          <w:kern w:val="2"/>
          <w:sz w:val="28"/>
          <w:szCs w:val="28"/>
          <w:lang w:eastAsia="zh-CN"/>
        </w:rPr>
        <w:t>行“绿水青山就是金山银山”的理念，深入实施生态立市战略，开展黄河段银川段两岸河滩地收回和岸线生态廊道建设，监理长效保护机制，基本消除黄河银川段两岸损害黄河生态环境突出问题。</w:t>
      </w:r>
      <w:r>
        <w:rPr>
          <w:rFonts w:hint="eastAsia" w:ascii="仿宋" w:hAnsi="仿宋" w:eastAsia="仿宋" w:cs="仿宋"/>
          <w:color w:val="000000" w:themeColor="text1"/>
          <w:sz w:val="28"/>
          <w:szCs w:val="28"/>
          <w:lang w:eastAsia="zh-CN"/>
          <w14:textFill>
            <w14:solidFill>
              <w14:schemeClr w14:val="tx1"/>
            </w14:solidFill>
          </w14:textFill>
        </w:rPr>
        <w:t>该目标</w:t>
      </w:r>
      <w:r>
        <w:rPr>
          <w:rFonts w:hint="eastAsia" w:ascii="仿宋" w:hAnsi="仿宋" w:eastAsia="仿宋" w:cs="仿宋"/>
          <w:sz w:val="28"/>
          <w:szCs w:val="28"/>
          <w:lang w:eastAsia="zh-CN" w:bidi="en-US"/>
        </w:rPr>
        <w:t>符合</w:t>
      </w:r>
      <w:r>
        <w:rPr>
          <w:rFonts w:hint="eastAsia" w:ascii="仿宋" w:hAnsi="仿宋" w:eastAsia="仿宋" w:cs="仿宋"/>
          <w:kern w:val="2"/>
          <w:sz w:val="28"/>
          <w:szCs w:val="28"/>
          <w:lang w:eastAsia="zh-CN"/>
        </w:rPr>
        <w:t>《黄河银川段两岸河滩地收回整治生态修复工作方案》（银政办发〔2019〕127号）的有关要求，符合黄河银川段两岸河滩地收回整治生态修复工作的实际要求。</w:t>
      </w:r>
      <w:r>
        <w:rPr>
          <w:rFonts w:hint="eastAsia" w:ascii="仿宋" w:hAnsi="仿宋" w:eastAsia="仿宋"/>
          <w:sz w:val="28"/>
          <w:szCs w:val="28"/>
          <w:lang w:eastAsia="zh-CN"/>
        </w:rPr>
        <w:t>该指标满分3.00分，根据评分标准得3.00分。</w:t>
      </w:r>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4.绩效指标明确性</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cs="仿宋"/>
          <w:kern w:val="2"/>
          <w:sz w:val="28"/>
          <w:szCs w:val="28"/>
          <w:lang w:eastAsia="zh-CN"/>
        </w:rPr>
        <w:t>通贵乡人民政府未就2022年黄河银川段两岸河滩地收回整治生态修复项目提供绩效目标申报表。</w:t>
      </w:r>
      <w:r>
        <w:rPr>
          <w:rFonts w:hint="eastAsia" w:ascii="仿宋" w:hAnsi="仿宋" w:eastAsia="仿宋"/>
          <w:sz w:val="28"/>
          <w:szCs w:val="28"/>
          <w:lang w:eastAsia="zh-CN"/>
        </w:rPr>
        <w:t>绩效指标、指标标杆值设置不明确，影响了对项目实施的约束作用，无法有效考核项目产出和项目效益。该指标满分3.00分，根据评分标准得</w:t>
      </w:r>
      <w:r>
        <w:rPr>
          <w:rFonts w:ascii="仿宋" w:hAnsi="仿宋" w:eastAsia="仿宋"/>
          <w:sz w:val="28"/>
          <w:szCs w:val="28"/>
          <w:lang w:eastAsia="zh-CN"/>
        </w:rPr>
        <w:t>0</w:t>
      </w:r>
      <w:r>
        <w:rPr>
          <w:rFonts w:hint="eastAsia" w:ascii="仿宋" w:hAnsi="仿宋" w:eastAsia="仿宋"/>
          <w:sz w:val="28"/>
          <w:szCs w:val="28"/>
          <w:lang w:eastAsia="zh-CN"/>
        </w:rPr>
        <w:t>.00分。</w:t>
      </w:r>
    </w:p>
    <w:p>
      <w:pPr>
        <w:widowControl w:val="0"/>
        <w:spacing w:after="0" w:line="360" w:lineRule="auto"/>
        <w:ind w:firstLine="562" w:firstLineChars="200"/>
        <w:jc w:val="both"/>
        <w:rPr>
          <w:rFonts w:ascii="仿宋" w:hAnsi="仿宋" w:eastAsia="仿宋" w:cs="仿宋"/>
          <w:b/>
          <w:bCs/>
          <w:kern w:val="2"/>
          <w:sz w:val="28"/>
          <w:szCs w:val="28"/>
          <w:lang w:eastAsia="zh-CN"/>
        </w:rPr>
      </w:pPr>
      <w:bookmarkStart w:id="130" w:name="_Hlk120435719"/>
      <w:r>
        <w:rPr>
          <w:rFonts w:hint="eastAsia" w:ascii="仿宋" w:hAnsi="仿宋" w:eastAsia="仿宋" w:cs="仿宋"/>
          <w:b/>
          <w:bCs/>
          <w:kern w:val="2"/>
          <w:sz w:val="28"/>
          <w:szCs w:val="28"/>
          <w:lang w:eastAsia="zh-CN"/>
        </w:rPr>
        <w:t>5.预算编制科学性</w:t>
      </w:r>
      <w:bookmarkStart w:id="156" w:name="_GoBack"/>
      <w:bookmarkEnd w:id="156"/>
    </w:p>
    <w:bookmarkEnd w:id="130"/>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预算指标由兴庆区财政局本级2022年财政预算、《黄河银川段两岸河滩地收回整治生态修复工作方案》（银政办发〔2019〕127号）和《兴庆区河滩地收回实施方案》（银兴政办发〔2019〕70号）要求编制，</w:t>
      </w:r>
      <w:r>
        <w:rPr>
          <w:rFonts w:hint="eastAsia" w:ascii="仿宋" w:hAnsi="仿宋" w:eastAsia="仿宋" w:cs="仿宋"/>
          <w:kern w:val="2"/>
          <w:sz w:val="28"/>
          <w:szCs w:val="28"/>
          <w:lang w:val="en-US" w:eastAsia="zh-CN"/>
        </w:rPr>
        <w:t>依照每亩亩产的市场价格确定一亩600元的补偿标准。</w:t>
      </w:r>
      <w:r>
        <w:rPr>
          <w:rFonts w:hint="eastAsia" w:ascii="仿宋" w:hAnsi="仿宋" w:eastAsia="仿宋" w:cs="仿宋"/>
          <w:kern w:val="2"/>
          <w:sz w:val="28"/>
          <w:szCs w:val="28"/>
          <w:lang w:eastAsia="zh-CN"/>
        </w:rPr>
        <w:t>资金使用范围和项目建设内容明确，预算编制额度与年度目标相适应，资金量与工作任务相匹配。该指标满分2.00分，根据评分标准得2.00分。</w:t>
      </w:r>
    </w:p>
    <w:p>
      <w:pPr>
        <w:widowControl w:val="0"/>
        <w:tabs>
          <w:tab w:val="left" w:pos="1026"/>
        </w:tabs>
        <w:spacing w:after="0" w:line="360" w:lineRule="auto"/>
        <w:ind w:firstLine="562" w:firstLineChars="200"/>
        <w:jc w:val="both"/>
        <w:rPr>
          <w:rFonts w:ascii="仿宋" w:hAnsi="仿宋" w:eastAsia="仿宋" w:cs="仿宋"/>
          <w:kern w:val="2"/>
          <w:sz w:val="28"/>
          <w:szCs w:val="28"/>
          <w:lang w:eastAsia="zh-CN"/>
        </w:rPr>
      </w:pPr>
      <w:r>
        <w:rPr>
          <w:rFonts w:hint="eastAsia" w:ascii="仿宋" w:hAnsi="仿宋" w:eastAsia="仿宋" w:cs="仿宋"/>
          <w:b/>
          <w:bCs/>
          <w:kern w:val="2"/>
          <w:sz w:val="28"/>
          <w:szCs w:val="28"/>
          <w:lang w:eastAsia="zh-CN"/>
        </w:rPr>
        <w:t>6.资金分配合理性</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2022年黄河银川段两岸河滩地收回整治生态修复项目资金由（银</w:t>
      </w:r>
      <w:r>
        <w:rPr>
          <w:rFonts w:hint="eastAsia" w:ascii="仿宋" w:hAnsi="仿宋" w:eastAsia="仿宋" w:cs="仿宋"/>
          <w:kern w:val="2"/>
          <w:sz w:val="28"/>
          <w:szCs w:val="28"/>
          <w:lang w:val="en-US" w:eastAsia="zh-CN"/>
        </w:rPr>
        <w:t>财预字</w:t>
      </w:r>
      <w:r>
        <w:rPr>
          <w:rFonts w:hint="eastAsia" w:ascii="仿宋" w:hAnsi="仿宋" w:eastAsia="仿宋" w:cs="仿宋"/>
          <w:kern w:val="2"/>
          <w:sz w:val="28"/>
          <w:szCs w:val="28"/>
          <w:lang w:eastAsia="zh-CN"/>
        </w:rPr>
        <w:t>〔2021〕第区44号）</w:t>
      </w:r>
      <w:r>
        <w:rPr>
          <w:rFonts w:hint="eastAsia" w:ascii="仿宋" w:hAnsi="仿宋" w:eastAsia="仿宋" w:cs="仿宋"/>
          <w:kern w:val="2"/>
          <w:sz w:val="28"/>
          <w:szCs w:val="28"/>
          <w:lang w:val="en-US" w:eastAsia="zh-CN"/>
        </w:rPr>
        <w:t>指标文件</w:t>
      </w:r>
      <w:r>
        <w:rPr>
          <w:rFonts w:hint="eastAsia" w:ascii="仿宋" w:hAnsi="仿宋" w:eastAsia="仿宋" w:cs="仿宋"/>
          <w:kern w:val="2"/>
          <w:sz w:val="28"/>
          <w:szCs w:val="28"/>
          <w:lang w:eastAsia="zh-CN"/>
        </w:rPr>
        <w:t>下达至通贵乡人民政府。通贵乡人民政府根据《黄河银川段两岸河滩地收回整治生态修复工作方案》（银政办发〔2019〕127号）中关于河滩地收回整治范围及补偿标准，按照每亩每年600元的标准支付流转费用。兴庆区河滩地收回流转责任地面积通贵乡共4043.65亩，本次拨付242.619万元。该指标满分2.00分，根据评分标准得2.00分。</w:t>
      </w:r>
    </w:p>
    <w:p>
      <w:pPr>
        <w:pStyle w:val="18"/>
        <w:spacing w:before="0" w:after="0"/>
        <w:ind w:firstLine="562" w:firstLineChars="200"/>
        <w:jc w:val="both"/>
        <w:outlineLvl w:val="1"/>
        <w:rPr>
          <w:rStyle w:val="17"/>
          <w:rFonts w:ascii="仿宋" w:hAnsi="仿宋" w:eastAsia="仿宋" w:cs="仿宋"/>
          <w:kern w:val="0"/>
          <w:sz w:val="28"/>
          <w:szCs w:val="32"/>
        </w:rPr>
      </w:pPr>
      <w:bookmarkStart w:id="131" w:name="_Toc121333084"/>
      <w:bookmarkStart w:id="132" w:name="_Toc11768"/>
      <w:r>
        <w:rPr>
          <w:rStyle w:val="17"/>
          <w:rFonts w:hint="eastAsia" w:ascii="仿宋" w:hAnsi="仿宋" w:eastAsia="仿宋" w:cs="仿宋"/>
          <w:kern w:val="0"/>
          <w:sz w:val="28"/>
          <w:szCs w:val="32"/>
        </w:rPr>
        <w:t>（二）项目管理</w:t>
      </w:r>
      <w:bookmarkEnd w:id="131"/>
      <w:bookmarkEnd w:id="132"/>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val="zh-TW" w:eastAsia="zh-TW"/>
        </w:rPr>
        <w:t>项目管理类指标由2个二级指标、5个三级指标构成，权重分25分，实际得分</w:t>
      </w:r>
      <w:r>
        <w:rPr>
          <w:rFonts w:hint="eastAsia" w:ascii="仿宋" w:hAnsi="仿宋" w:eastAsia="仿宋" w:cs="仿宋"/>
          <w:kern w:val="2"/>
          <w:sz w:val="28"/>
          <w:szCs w:val="28"/>
          <w:lang w:eastAsia="zh-CN"/>
        </w:rPr>
        <w:t>17.00</w:t>
      </w:r>
      <w:r>
        <w:rPr>
          <w:rFonts w:hint="eastAsia" w:ascii="仿宋" w:hAnsi="仿宋" w:eastAsia="仿宋" w:cs="仿宋"/>
          <w:kern w:val="2"/>
          <w:sz w:val="28"/>
          <w:szCs w:val="28"/>
          <w:lang w:val="zh-TW" w:eastAsia="zh-TW"/>
        </w:rPr>
        <w:t>分。各指标实际值和绩效分值如下表所示：</w:t>
      </w:r>
    </w:p>
    <w:p>
      <w:pPr>
        <w:widowControl w:val="0"/>
        <w:spacing w:after="0" w:line="360" w:lineRule="auto"/>
        <w:jc w:val="center"/>
        <w:rPr>
          <w:rFonts w:ascii="等线" w:hAnsi="等线" w:eastAsia="等线" w:cs="等线"/>
          <w:b/>
          <w:lang w:eastAsia="zh-CN"/>
        </w:rPr>
      </w:pPr>
      <w:r>
        <w:rPr>
          <w:rFonts w:hint="eastAsia" w:ascii="等线" w:hAnsi="等线" w:eastAsia="等线" w:cs="等线"/>
          <w:b/>
          <w:lang w:eastAsia="zh-CN"/>
        </w:rPr>
        <w:t>项目管理指标及分值</w:t>
      </w:r>
    </w:p>
    <w:tbl>
      <w:tblPr>
        <w:tblStyle w:val="15"/>
        <w:tblW w:w="0" w:type="auto"/>
        <w:jc w:val="center"/>
        <w:tblBorders>
          <w:top w:val="single" w:color="auto" w:sz="4" w:space="0"/>
          <w:left w:val="singl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413"/>
        <w:gridCol w:w="1559"/>
        <w:gridCol w:w="2343"/>
        <w:gridCol w:w="870"/>
        <w:gridCol w:w="1185"/>
        <w:gridCol w:w="870"/>
      </w:tblGrid>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tcBorders>
              <w:bottom w:val="single" w:color="auto" w:sz="4" w:space="0"/>
              <w:right w:val="single" w:color="auto" w:sz="4"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一级指标</w:t>
            </w:r>
          </w:p>
        </w:tc>
        <w:tc>
          <w:tcPr>
            <w:tcW w:w="1559" w:type="dxa"/>
            <w:tcBorders>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二级指标</w:t>
            </w:r>
          </w:p>
        </w:tc>
        <w:tc>
          <w:tcPr>
            <w:tcW w:w="2343" w:type="dxa"/>
            <w:tcBorders>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三级指标</w:t>
            </w:r>
          </w:p>
        </w:tc>
        <w:tc>
          <w:tcPr>
            <w:tcW w:w="870" w:type="dxa"/>
            <w:tcBorders>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权重</w:t>
            </w:r>
          </w:p>
        </w:tc>
        <w:tc>
          <w:tcPr>
            <w:tcW w:w="1185" w:type="dxa"/>
            <w:tcBorders>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实际值</w:t>
            </w:r>
          </w:p>
        </w:tc>
        <w:tc>
          <w:tcPr>
            <w:tcW w:w="870" w:type="dxa"/>
            <w:tcBorders>
              <w:left w:val="single" w:color="auto" w:sz="4" w:space="0"/>
              <w:bottom w:val="single" w:color="auto" w:sz="4"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得分</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vMerge w:val="restart"/>
            <w:tcBorders>
              <w:top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项目管理</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（25分）</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资金管理</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（13分）</w:t>
            </w:r>
          </w:p>
        </w:tc>
        <w:tc>
          <w:tcPr>
            <w:tcW w:w="23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资金到位率</w:t>
            </w:r>
          </w:p>
        </w:tc>
        <w:tc>
          <w:tcPr>
            <w:tcW w:w="870"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185"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100%</w:t>
            </w:r>
          </w:p>
        </w:tc>
        <w:tc>
          <w:tcPr>
            <w:tcW w:w="870" w:type="dxa"/>
            <w:tcBorders>
              <w:top w:val="single" w:color="auto" w:sz="4" w:space="0"/>
              <w:left w:val="single" w:color="auto" w:sz="4" w:space="0"/>
              <w:bottom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0.00</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vMerge w:val="continue"/>
            <w:tcBorders>
              <w:right w:val="single" w:color="auto" w:sz="4" w:space="0"/>
            </w:tcBorders>
            <w:vAlign w:val="center"/>
          </w:tcPr>
          <w:p>
            <w:pPr>
              <w:spacing w:after="0" w:line="360" w:lineRule="auto"/>
              <w:jc w:val="center"/>
              <w:rPr>
                <w:rFonts w:ascii="等线" w:hAnsi="等线" w:eastAsia="等线" w:cs="等线"/>
                <w:color w:val="000000"/>
                <w:lang w:eastAsia="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p>
        </w:tc>
        <w:tc>
          <w:tcPr>
            <w:tcW w:w="23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预算执行率</w:t>
            </w:r>
          </w:p>
        </w:tc>
        <w:tc>
          <w:tcPr>
            <w:tcW w:w="870"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185"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100%</w:t>
            </w:r>
          </w:p>
        </w:tc>
        <w:tc>
          <w:tcPr>
            <w:tcW w:w="870" w:type="dxa"/>
            <w:tcBorders>
              <w:top w:val="single" w:color="auto" w:sz="4" w:space="0"/>
              <w:left w:val="single" w:color="auto" w:sz="4" w:space="0"/>
              <w:bottom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0.00</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vMerge w:val="continue"/>
            <w:tcBorders>
              <w:right w:val="single" w:color="auto" w:sz="4" w:space="0"/>
            </w:tcBorders>
            <w:vAlign w:val="center"/>
          </w:tcPr>
          <w:p>
            <w:pPr>
              <w:spacing w:after="0" w:line="360" w:lineRule="auto"/>
              <w:jc w:val="center"/>
              <w:rPr>
                <w:rFonts w:ascii="等线" w:hAnsi="等线" w:eastAsia="等线" w:cs="等线"/>
                <w:color w:val="000000"/>
                <w:lang w:eastAsia="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p>
        </w:tc>
        <w:tc>
          <w:tcPr>
            <w:tcW w:w="23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资金使用合规性</w:t>
            </w:r>
          </w:p>
        </w:tc>
        <w:tc>
          <w:tcPr>
            <w:tcW w:w="870"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1185"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合规</w:t>
            </w:r>
          </w:p>
        </w:tc>
        <w:tc>
          <w:tcPr>
            <w:tcW w:w="870" w:type="dxa"/>
            <w:tcBorders>
              <w:top w:val="single" w:color="auto" w:sz="4" w:space="0"/>
              <w:left w:val="single" w:color="auto" w:sz="4" w:space="0"/>
              <w:bottom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5.00</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vMerge w:val="continue"/>
            <w:tcBorders>
              <w:right w:val="single" w:color="auto" w:sz="4" w:space="0"/>
            </w:tcBorders>
            <w:vAlign w:val="center"/>
          </w:tcPr>
          <w:p>
            <w:pPr>
              <w:spacing w:after="0" w:line="360" w:lineRule="auto"/>
              <w:jc w:val="center"/>
              <w:rPr>
                <w:rFonts w:ascii="等线" w:hAnsi="等线" w:eastAsia="等线" w:cs="等线"/>
                <w:color w:val="000000"/>
                <w:lang w:eastAsia="zh-CN"/>
              </w:rPr>
            </w:pP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组织实施</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（12分）</w:t>
            </w:r>
          </w:p>
        </w:tc>
        <w:tc>
          <w:tcPr>
            <w:tcW w:w="23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管理制度健全性</w:t>
            </w:r>
          </w:p>
        </w:tc>
        <w:tc>
          <w:tcPr>
            <w:tcW w:w="870"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1185"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健全</w:t>
            </w:r>
          </w:p>
        </w:tc>
        <w:tc>
          <w:tcPr>
            <w:tcW w:w="870" w:type="dxa"/>
            <w:tcBorders>
              <w:top w:val="single" w:color="auto" w:sz="4" w:space="0"/>
              <w:left w:val="single" w:color="auto" w:sz="4" w:space="0"/>
              <w:bottom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4.00</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1413" w:type="dxa"/>
            <w:vMerge w:val="continue"/>
            <w:tcBorders>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p>
        </w:tc>
        <w:tc>
          <w:tcPr>
            <w:tcW w:w="23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制度执行有效性</w:t>
            </w:r>
          </w:p>
        </w:tc>
        <w:tc>
          <w:tcPr>
            <w:tcW w:w="870"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w:t>
            </w:r>
          </w:p>
        </w:tc>
        <w:tc>
          <w:tcPr>
            <w:tcW w:w="1185" w:type="dxa"/>
            <w:tcBorders>
              <w:top w:val="single" w:color="auto" w:sz="4" w:space="0"/>
              <w:left w:val="single" w:color="auto" w:sz="4" w:space="0"/>
              <w:bottom w:val="single" w:color="auto" w:sz="4" w:space="0"/>
              <w:right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基本有效</w:t>
            </w:r>
          </w:p>
        </w:tc>
        <w:tc>
          <w:tcPr>
            <w:tcW w:w="870" w:type="dxa"/>
            <w:tcBorders>
              <w:top w:val="single" w:color="auto" w:sz="4" w:space="0"/>
              <w:left w:val="single" w:color="auto" w:sz="4" w:space="0"/>
              <w:bottom w:val="single" w:color="auto" w:sz="4" w:space="0"/>
            </w:tcBorders>
            <w:noWrap/>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8.00</w:t>
            </w:r>
          </w:p>
        </w:tc>
      </w:tr>
      <w:tr>
        <w:tblPrEx>
          <w:tblBorders>
            <w:top w:val="singl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5315" w:type="dxa"/>
            <w:gridSpan w:val="3"/>
            <w:tcBorders>
              <w:top w:val="single" w:color="auto" w:sz="4" w:space="0"/>
              <w:bottom w:val="single" w:color="auto" w:sz="12" w:space="0"/>
              <w:right w:val="single" w:color="auto" w:sz="4" w:space="0"/>
            </w:tcBorders>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合计</w:t>
            </w:r>
          </w:p>
        </w:tc>
        <w:tc>
          <w:tcPr>
            <w:tcW w:w="870" w:type="dxa"/>
            <w:tcBorders>
              <w:top w:val="single" w:color="auto" w:sz="4" w:space="0"/>
              <w:left w:val="single" w:color="auto" w:sz="4" w:space="0"/>
              <w:bottom w:val="single" w:color="auto" w:sz="12" w:space="0"/>
              <w:right w:val="single" w:color="auto" w:sz="4"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25%</w:t>
            </w:r>
          </w:p>
        </w:tc>
        <w:tc>
          <w:tcPr>
            <w:tcW w:w="1185" w:type="dxa"/>
            <w:tcBorders>
              <w:top w:val="single" w:color="auto" w:sz="4" w:space="0"/>
              <w:left w:val="single" w:color="auto" w:sz="4" w:space="0"/>
              <w:bottom w:val="single" w:color="auto" w:sz="12" w:space="0"/>
              <w:right w:val="single" w:color="auto" w:sz="4" w:space="0"/>
            </w:tcBorders>
            <w:noWrap/>
            <w:vAlign w:val="center"/>
          </w:tcPr>
          <w:p>
            <w:pPr>
              <w:spacing w:after="0" w:line="360" w:lineRule="auto"/>
              <w:jc w:val="center"/>
              <w:rPr>
                <w:rFonts w:ascii="等线" w:hAnsi="等线" w:eastAsia="等线" w:cs="等线"/>
                <w:b/>
                <w:bCs/>
                <w:color w:val="000000"/>
                <w:lang w:eastAsia="zh-CN"/>
              </w:rPr>
            </w:pPr>
          </w:p>
        </w:tc>
        <w:tc>
          <w:tcPr>
            <w:tcW w:w="870" w:type="dxa"/>
            <w:tcBorders>
              <w:top w:val="single" w:color="auto" w:sz="4" w:space="0"/>
              <w:left w:val="single" w:color="auto" w:sz="4" w:space="0"/>
              <w:bottom w:val="single" w:color="auto" w:sz="12" w:space="0"/>
            </w:tcBorders>
            <w:noWrap/>
            <w:vAlign w:val="center"/>
          </w:tcPr>
          <w:p>
            <w:pPr>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17.00</w:t>
            </w:r>
          </w:p>
        </w:tc>
      </w:tr>
    </w:tbl>
    <w:p>
      <w:pPr>
        <w:widowControl w:val="0"/>
        <w:spacing w:after="0" w:line="360" w:lineRule="auto"/>
        <w:ind w:firstLine="562" w:firstLineChars="200"/>
        <w:jc w:val="both"/>
        <w:rPr>
          <w:rFonts w:ascii="仿宋" w:hAnsi="仿宋" w:eastAsia="仿宋" w:cs="仿宋"/>
          <w:kern w:val="2"/>
          <w:sz w:val="28"/>
          <w:szCs w:val="28"/>
          <w:lang w:eastAsia="zh-CN"/>
        </w:rPr>
      </w:pPr>
      <w:r>
        <w:rPr>
          <w:rFonts w:hint="eastAsia" w:ascii="仿宋" w:hAnsi="仿宋" w:eastAsia="仿宋" w:cs="仿宋"/>
          <w:b/>
          <w:bCs/>
          <w:kern w:val="2"/>
          <w:sz w:val="28"/>
          <w:szCs w:val="28"/>
          <w:lang w:eastAsia="zh-CN"/>
        </w:rPr>
        <w:t>1.资金到位率</w:t>
      </w:r>
    </w:p>
    <w:p>
      <w:pPr>
        <w:widowControl w:val="0"/>
        <w:spacing w:after="0" w:line="360" w:lineRule="auto"/>
        <w:ind w:firstLine="560" w:firstLineChars="200"/>
        <w:jc w:val="both"/>
        <w:rPr>
          <w:rFonts w:ascii="仿宋" w:hAnsi="仿宋" w:eastAsia="仿宋" w:cs="仿宋"/>
          <w:sz w:val="28"/>
          <w:szCs w:val="28"/>
          <w:lang w:eastAsia="zh-CN"/>
        </w:rPr>
      </w:pPr>
      <w:r>
        <w:rPr>
          <w:rFonts w:hint="eastAsia" w:ascii="仿宋" w:hAnsi="仿宋" w:eastAsia="仿宋" w:cs="仿宋"/>
          <w:kern w:val="2"/>
          <w:sz w:val="28"/>
          <w:szCs w:val="28"/>
          <w:lang w:val="en-US" w:eastAsia="zh-CN"/>
        </w:rPr>
        <w:t>根据</w:t>
      </w:r>
      <w:r>
        <w:rPr>
          <w:rFonts w:hint="eastAsia" w:ascii="仿宋" w:hAnsi="仿宋" w:eastAsia="仿宋" w:cs="仿宋"/>
          <w:kern w:val="2"/>
          <w:sz w:val="28"/>
          <w:szCs w:val="28"/>
          <w:lang w:eastAsia="zh-CN"/>
        </w:rPr>
        <w:t>（银</w:t>
      </w:r>
      <w:r>
        <w:rPr>
          <w:rFonts w:hint="eastAsia" w:ascii="仿宋" w:hAnsi="仿宋" w:eastAsia="仿宋" w:cs="仿宋"/>
          <w:kern w:val="2"/>
          <w:sz w:val="28"/>
          <w:szCs w:val="28"/>
          <w:lang w:val="en-US" w:eastAsia="zh-CN"/>
        </w:rPr>
        <w:t>财预字</w:t>
      </w:r>
      <w:r>
        <w:rPr>
          <w:rFonts w:hint="eastAsia" w:ascii="仿宋" w:hAnsi="仿宋" w:eastAsia="仿宋" w:cs="仿宋"/>
          <w:kern w:val="2"/>
          <w:sz w:val="28"/>
          <w:szCs w:val="28"/>
          <w:lang w:eastAsia="zh-CN"/>
        </w:rPr>
        <w:t>〔2021〕第区44号）指标文件，截至2022年12月31日，资金未到位。2023年1月</w:t>
      </w:r>
      <w:r>
        <w:rPr>
          <w:rFonts w:hint="eastAsia" w:ascii="仿宋" w:hAnsi="仿宋" w:eastAsia="仿宋" w:cs="仿宋"/>
          <w:kern w:val="2"/>
          <w:sz w:val="28"/>
          <w:szCs w:val="28"/>
          <w:lang w:val="en-US" w:eastAsia="zh-CN"/>
        </w:rPr>
        <w:t>20日</w:t>
      </w:r>
      <w:r>
        <w:rPr>
          <w:rFonts w:hint="eastAsia" w:ascii="仿宋" w:hAnsi="仿宋" w:eastAsia="仿宋" w:cs="仿宋"/>
          <w:sz w:val="28"/>
          <w:szCs w:val="28"/>
          <w:lang w:eastAsia="zh-CN"/>
        </w:rPr>
        <w:t>指标资金到位，资金到位率100%。</w:t>
      </w:r>
      <w:r>
        <w:rPr>
          <w:rFonts w:hint="eastAsia" w:ascii="仿宋" w:hAnsi="仿宋" w:eastAsia="仿宋" w:cs="仿宋"/>
          <w:sz w:val="28"/>
          <w:szCs w:val="28"/>
          <w:lang w:val="en-US" w:eastAsia="zh-CN"/>
        </w:rPr>
        <w:t>依据</w:t>
      </w:r>
      <w:r>
        <w:rPr>
          <w:rFonts w:hint="eastAsia" w:ascii="仿宋" w:hAnsi="仿宋" w:eastAsia="仿宋" w:cs="仿宋"/>
          <w:kern w:val="2"/>
          <w:sz w:val="28"/>
          <w:szCs w:val="28"/>
          <w:lang w:eastAsia="zh-CN"/>
        </w:rPr>
        <w:t>《黄河银川段两岸河滩地收回整治生态修复工作方案》（银政办发〔2019〕127号）</w:t>
      </w:r>
      <w:r>
        <w:rPr>
          <w:rFonts w:hint="eastAsia" w:ascii="仿宋" w:hAnsi="仿宋" w:eastAsia="仿宋" w:cs="仿宋"/>
          <w:kern w:val="2"/>
          <w:sz w:val="28"/>
          <w:szCs w:val="28"/>
          <w:lang w:val="en-US" w:eastAsia="zh-CN"/>
        </w:rPr>
        <w:t>流转费应于每年12月底之前集中兑付给沿黄四县市（区）人民政府，在补偿资金拨付到位后一个月内完成兑付工作。</w:t>
      </w:r>
      <w:r>
        <w:rPr>
          <w:rFonts w:hint="eastAsia" w:ascii="仿宋" w:hAnsi="仿宋" w:eastAsia="仿宋" w:cs="仿宋"/>
          <w:sz w:val="28"/>
          <w:szCs w:val="28"/>
          <w:lang w:val="en-US" w:eastAsia="zh-CN"/>
        </w:rPr>
        <w:t>根据</w:t>
      </w:r>
      <w:r>
        <w:rPr>
          <w:rFonts w:hint="eastAsia" w:ascii="仿宋" w:hAnsi="仿宋" w:eastAsia="仿宋" w:cs="仿宋"/>
          <w:sz w:val="28"/>
          <w:szCs w:val="28"/>
          <w:lang w:eastAsia="zh-CN"/>
        </w:rPr>
        <w:t>该指标满分4.00分，根据评分标准得0.00分。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2.预算执行率</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w:t>
      </w:r>
      <w:r>
        <w:rPr>
          <w:rFonts w:hint="default" w:ascii="仿宋" w:hAnsi="仿宋" w:eastAsia="仿宋" w:cs="仿宋"/>
          <w:kern w:val="2"/>
          <w:sz w:val="28"/>
          <w:szCs w:val="28"/>
          <w:lang w:eastAsia="zh-CN"/>
        </w:rPr>
        <w:t>预算</w:t>
      </w:r>
      <w:r>
        <w:rPr>
          <w:rFonts w:hint="eastAsia" w:ascii="仿宋" w:hAnsi="仿宋" w:eastAsia="仿宋" w:cs="仿宋"/>
          <w:kern w:val="2"/>
          <w:sz w:val="28"/>
          <w:szCs w:val="28"/>
          <w:lang w:val="en-US" w:eastAsia="zh-CN"/>
        </w:rPr>
        <w:t>资金</w:t>
      </w:r>
      <w:r>
        <w:rPr>
          <w:rFonts w:hint="eastAsia" w:ascii="仿宋" w:hAnsi="仿宋" w:eastAsia="仿宋" w:cs="仿宋"/>
          <w:kern w:val="2"/>
          <w:sz w:val="28"/>
          <w:szCs w:val="28"/>
          <w:lang w:eastAsia="zh-CN"/>
        </w:rPr>
        <w:t>242.619万元，截至2022年12月31日，</w:t>
      </w:r>
      <w:r>
        <w:rPr>
          <w:rFonts w:hint="default" w:ascii="仿宋" w:hAnsi="仿宋" w:eastAsia="仿宋" w:cs="仿宋"/>
          <w:kern w:val="2"/>
          <w:sz w:val="28"/>
          <w:szCs w:val="28"/>
          <w:lang w:eastAsia="zh-CN"/>
        </w:rPr>
        <w:t>资金未到达项目单位</w:t>
      </w:r>
      <w:r>
        <w:rPr>
          <w:rFonts w:hint="eastAsia" w:ascii="仿宋" w:hAnsi="仿宋" w:eastAsia="仿宋" w:cs="仿宋"/>
          <w:kern w:val="2"/>
          <w:sz w:val="28"/>
          <w:szCs w:val="28"/>
          <w:lang w:eastAsia="zh-CN"/>
        </w:rPr>
        <w:t>，</w:t>
      </w:r>
      <w:r>
        <w:rPr>
          <w:rFonts w:hint="default" w:ascii="仿宋" w:hAnsi="仿宋" w:eastAsia="仿宋" w:cs="仿宋"/>
          <w:kern w:val="2"/>
          <w:sz w:val="28"/>
          <w:szCs w:val="28"/>
          <w:lang w:eastAsia="zh-CN"/>
        </w:rPr>
        <w:t>本年度无支出，</w:t>
      </w:r>
      <w:r>
        <w:rPr>
          <w:rFonts w:hint="eastAsia" w:ascii="仿宋" w:hAnsi="仿宋" w:eastAsia="仿宋" w:cs="仿宋"/>
          <w:kern w:val="2"/>
          <w:sz w:val="28"/>
          <w:szCs w:val="28"/>
          <w:lang w:eastAsia="zh-CN"/>
        </w:rPr>
        <w:t>预算执行率为0%。该指标满分4.00分，根据评分标准得0.00分。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3.资金使用合规性</w:t>
      </w:r>
    </w:p>
    <w:p>
      <w:pPr>
        <w:widowControl w:val="0"/>
        <w:tabs>
          <w:tab w:val="left" w:pos="1026"/>
        </w:tabs>
        <w:spacing w:after="0" w:line="360" w:lineRule="auto"/>
        <w:ind w:firstLine="560" w:firstLineChars="200"/>
        <w:jc w:val="both"/>
        <w:rPr>
          <w:rFonts w:ascii="仿宋" w:hAnsi="仿宋" w:eastAsia="仿宋" w:cs="仿宋"/>
          <w:sz w:val="28"/>
          <w:szCs w:val="28"/>
          <w:lang w:eastAsia="zh-CN"/>
        </w:rPr>
      </w:pPr>
      <w:r>
        <w:rPr>
          <w:rFonts w:hint="eastAsia" w:ascii="仿宋" w:hAnsi="仿宋" w:eastAsia="仿宋" w:cs="仿宋"/>
          <w:sz w:val="28"/>
          <w:szCs w:val="28"/>
          <w:lang w:eastAsia="zh-CN"/>
        </w:rPr>
        <w:t>通过</w:t>
      </w:r>
      <w:r>
        <w:rPr>
          <w:rFonts w:hint="eastAsia" w:ascii="仿宋" w:hAnsi="仿宋" w:eastAsia="仿宋" w:cs="仿宋"/>
          <w:sz w:val="28"/>
          <w:szCs w:val="28"/>
          <w:lang w:val="en-US" w:eastAsia="zh-CN"/>
        </w:rPr>
        <w:t>查看</w:t>
      </w:r>
      <w:r>
        <w:rPr>
          <w:rFonts w:hint="eastAsia" w:ascii="仿宋" w:hAnsi="仿宋" w:eastAsia="仿宋" w:cs="仿宋"/>
          <w:sz w:val="28"/>
          <w:szCs w:val="28"/>
          <w:lang w:eastAsia="zh-CN"/>
        </w:rPr>
        <w:t>与本项目相关的会计凭证、原始单据、付款审批等财务资料，本次下达的资金已兑付资金全部用于本项目，资金支出符合项目预算批复规定的用途，所有资金拨付均有完整的审批程序和手续。该指标满分5.00分，根据评分标准得5.00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4.管理制度健全性</w:t>
      </w:r>
    </w:p>
    <w:p>
      <w:pPr>
        <w:widowControl w:val="0"/>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sz w:val="28"/>
          <w:szCs w:val="28"/>
          <w:lang w:eastAsia="zh-CN"/>
        </w:rPr>
        <w:t>为规范和加强</w:t>
      </w:r>
      <w:r>
        <w:rPr>
          <w:rFonts w:hint="eastAsia" w:ascii="仿宋" w:hAnsi="仿宋" w:eastAsia="仿宋" w:cs="仿宋"/>
          <w:kern w:val="2"/>
          <w:sz w:val="28"/>
          <w:szCs w:val="28"/>
          <w:lang w:eastAsia="zh-CN"/>
        </w:rPr>
        <w:t>黄河银川段两岸河滩地收回整治生态修复项目</w:t>
      </w:r>
      <w:r>
        <w:rPr>
          <w:rFonts w:hint="eastAsia" w:ascii="仿宋" w:hAnsi="仿宋" w:eastAsia="仿宋" w:cs="仿宋"/>
          <w:sz w:val="28"/>
          <w:szCs w:val="28"/>
          <w:lang w:eastAsia="zh-CN"/>
        </w:rPr>
        <w:t>管理，提高资金使用效益和项目管理水平，推动</w:t>
      </w:r>
      <w:r>
        <w:rPr>
          <w:rFonts w:hint="eastAsia" w:ascii="仿宋" w:hAnsi="仿宋" w:eastAsia="仿宋" w:cs="仿宋"/>
          <w:kern w:val="2"/>
          <w:sz w:val="28"/>
          <w:szCs w:val="28"/>
          <w:lang w:eastAsia="zh-CN"/>
        </w:rPr>
        <w:t>黄河银川段两岸河滩地收回工作的顺利开展，制定了《黄河银川段两岸河滩地收回整治生态修复工作方案》（银政办发〔2019〕127号）和《兴庆区河滩地收回实施方案》（银兴政办发〔2019〕70号）等工作方案。</w:t>
      </w:r>
      <w:r>
        <w:rPr>
          <w:rFonts w:hint="eastAsia" w:ascii="仿宋" w:hAnsi="仿宋" w:eastAsia="仿宋"/>
          <w:sz w:val="28"/>
          <w:szCs w:val="28"/>
          <w:lang w:eastAsia="zh-CN"/>
        </w:rPr>
        <w:t>该指标满分4.00分，根据评分标准得4.00分。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5.制度执行有效性</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both"/>
        <w:textAlignment w:val="auto"/>
        <w:rPr>
          <w:rFonts w:ascii="仿宋" w:hAnsi="仿宋" w:eastAsia="仿宋" w:cs="仿宋"/>
          <w:b/>
          <w:bCs/>
          <w:sz w:val="28"/>
          <w:szCs w:val="28"/>
          <w:highlight w:val="yellow"/>
          <w:lang w:eastAsia="zh-CN"/>
        </w:rPr>
      </w:pPr>
      <w:r>
        <w:rPr>
          <w:rFonts w:hint="eastAsia" w:ascii="仿宋" w:hAnsi="仿宋" w:eastAsia="仿宋" w:cs="仿宋"/>
          <w:kern w:val="2"/>
          <w:sz w:val="28"/>
          <w:szCs w:val="28"/>
          <w:lang w:eastAsia="zh-CN"/>
        </w:rPr>
        <w:t>兴庆区通贵乡</w:t>
      </w:r>
      <w:r>
        <w:rPr>
          <w:rFonts w:hint="eastAsia" w:ascii="仿宋" w:hAnsi="仿宋" w:eastAsia="仿宋" w:cs="仿宋"/>
          <w:kern w:val="2"/>
          <w:sz w:val="28"/>
          <w:szCs w:val="28"/>
          <w:lang w:val="en-US" w:eastAsia="zh-CN"/>
        </w:rPr>
        <w:t>各村村委会</w:t>
      </w:r>
      <w:r>
        <w:rPr>
          <w:rFonts w:hint="eastAsia" w:ascii="仿宋" w:hAnsi="仿宋" w:eastAsia="仿宋" w:cs="仿宋"/>
          <w:kern w:val="2"/>
          <w:sz w:val="28"/>
          <w:szCs w:val="28"/>
          <w:lang w:eastAsia="zh-CN"/>
        </w:rPr>
        <w:t>按照《黄河银川段两岸河滩地收回整治生态修复工作方案》（银政办发〔2019〕127号）和《兴庆区河滩地收回实施方案》（银兴政办发〔2019〕70号）中的补偿标准和确定的流转责任地面积进行签订协议和支付流转费。</w:t>
      </w:r>
      <w:r>
        <w:rPr>
          <w:rFonts w:hint="eastAsia" w:ascii="仿宋" w:hAnsi="仿宋" w:eastAsia="仿宋"/>
          <w:sz w:val="28"/>
          <w:szCs w:val="28"/>
          <w:lang w:eastAsia="zh-CN"/>
        </w:rPr>
        <w:t>该指标满分8.00分，根据评分标准得8.00分。</w:t>
      </w:r>
    </w:p>
    <w:p>
      <w:pPr>
        <w:pStyle w:val="4"/>
        <w:keepNext w:val="0"/>
        <w:keepLines w:val="0"/>
        <w:pageBreakBefore w:val="0"/>
        <w:widowControl w:val="0"/>
        <w:kinsoku/>
        <w:wordWrap/>
        <w:overflowPunct/>
        <w:topLinePunct w:val="0"/>
        <w:autoSpaceDE/>
        <w:autoSpaceDN/>
        <w:bidi w:val="0"/>
        <w:adjustRightInd/>
        <w:snapToGrid/>
        <w:spacing w:before="0" w:line="360" w:lineRule="auto"/>
        <w:ind w:firstLine="562" w:firstLineChars="200"/>
        <w:jc w:val="both"/>
        <w:textAlignment w:val="auto"/>
        <w:rPr>
          <w:rFonts w:ascii="仿宋" w:hAnsi="仿宋" w:eastAsia="仿宋" w:cs="仿宋"/>
          <w:sz w:val="28"/>
          <w:szCs w:val="28"/>
          <w:lang w:eastAsia="zh-CN"/>
        </w:rPr>
      </w:pPr>
      <w:bookmarkStart w:id="133" w:name="_Toc575"/>
      <w:bookmarkStart w:id="134" w:name="_Toc16615"/>
      <w:bookmarkStart w:id="135" w:name="_Toc13115"/>
      <w:bookmarkStart w:id="136" w:name="_Toc674"/>
      <w:bookmarkStart w:id="137" w:name="_Toc13320"/>
      <w:r>
        <w:rPr>
          <w:rFonts w:hint="eastAsia" w:ascii="仿宋" w:hAnsi="仿宋" w:eastAsia="仿宋" w:cs="仿宋"/>
          <w:sz w:val="28"/>
          <w:szCs w:val="28"/>
          <w:lang w:eastAsia="zh-CN"/>
        </w:rPr>
        <w:t>（三）项目产出</w:t>
      </w:r>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项目产出类指标由4个二级指标和6个三级指标构成，权重分32分，实际得分24.49分。各指标业绩值和绩效分值如下表所示：</w:t>
      </w:r>
    </w:p>
    <w:p>
      <w:pPr>
        <w:widowControl w:val="0"/>
        <w:spacing w:after="0" w:line="360" w:lineRule="auto"/>
        <w:jc w:val="center"/>
        <w:rPr>
          <w:rFonts w:hint="eastAsia" w:ascii="等线" w:hAnsi="等线" w:eastAsia="等线" w:cs="等线"/>
          <w:b/>
          <w:lang w:eastAsia="zh-CN"/>
        </w:rPr>
      </w:pPr>
      <w:r>
        <w:rPr>
          <w:rFonts w:hint="eastAsia" w:ascii="等线" w:hAnsi="等线" w:eastAsia="等线" w:cs="等线"/>
          <w:b/>
          <w:lang w:eastAsia="zh-CN"/>
        </w:rPr>
        <w:t>项目产出指标及分值</w:t>
      </w:r>
    </w:p>
    <w:tbl>
      <w:tblPr>
        <w:tblStyle w:val="15"/>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29"/>
        <w:gridCol w:w="3021"/>
        <w:gridCol w:w="990"/>
        <w:gridCol w:w="1252"/>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49"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一级指标</w:t>
            </w:r>
          </w:p>
        </w:tc>
        <w:tc>
          <w:tcPr>
            <w:tcW w:w="829"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二级指标</w:t>
            </w:r>
          </w:p>
        </w:tc>
        <w:tc>
          <w:tcPr>
            <w:tcW w:w="1750"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三级指标</w:t>
            </w:r>
          </w:p>
        </w:tc>
        <w:tc>
          <w:tcPr>
            <w:tcW w:w="574"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权重</w:t>
            </w:r>
          </w:p>
        </w:tc>
        <w:tc>
          <w:tcPr>
            <w:tcW w:w="726"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实际值</w:t>
            </w:r>
          </w:p>
        </w:tc>
        <w:tc>
          <w:tcPr>
            <w:tcW w:w="469" w:type="pct"/>
            <w:tcBorders>
              <w:top w:val="single" w:color="auto" w:sz="12" w:space="0"/>
            </w:tcBorders>
            <w:vAlign w:val="center"/>
          </w:tcPr>
          <w:p>
            <w:pPr>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vMerge w:val="restart"/>
            <w:vAlign w:val="center"/>
          </w:tcPr>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项目产出</w:t>
            </w:r>
          </w:p>
          <w:p>
            <w:pPr>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（32分）</w:t>
            </w:r>
          </w:p>
        </w:tc>
        <w:tc>
          <w:tcPr>
            <w:tcW w:w="829" w:type="pct"/>
            <w:vMerge w:val="restart"/>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产出数量</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（8分）</w:t>
            </w: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兑付户数</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393户</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49" w:type="pct"/>
            <w:vMerge w:val="continue"/>
            <w:vAlign w:val="center"/>
          </w:tcPr>
          <w:p>
            <w:pPr>
              <w:spacing w:after="0" w:line="360" w:lineRule="auto"/>
              <w:jc w:val="center"/>
              <w:rPr>
                <w:rFonts w:ascii="等线" w:hAnsi="等线" w:eastAsia="等线" w:cs="等线"/>
                <w:color w:val="000000"/>
                <w:highlight w:val="yellow"/>
                <w:lang w:eastAsia="zh-CN"/>
              </w:rPr>
            </w:pPr>
          </w:p>
        </w:tc>
        <w:tc>
          <w:tcPr>
            <w:tcW w:w="829" w:type="pct"/>
            <w:vMerge w:val="continue"/>
            <w:vAlign w:val="center"/>
          </w:tcPr>
          <w:p>
            <w:pPr>
              <w:spacing w:after="0" w:line="240" w:lineRule="auto"/>
              <w:jc w:val="center"/>
              <w:rPr>
                <w:rFonts w:ascii="等线" w:hAnsi="等线" w:eastAsia="等线" w:cs="等线"/>
                <w:color w:val="000000"/>
                <w:highlight w:val="yellow"/>
                <w:lang w:eastAsia="zh-CN"/>
              </w:rPr>
            </w:pP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收回责任地</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2984.8亩</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49" w:type="pct"/>
            <w:vMerge w:val="continue"/>
            <w:vAlign w:val="center"/>
          </w:tcPr>
          <w:p>
            <w:pPr>
              <w:spacing w:after="0" w:line="360" w:lineRule="auto"/>
              <w:jc w:val="center"/>
              <w:rPr>
                <w:rFonts w:ascii="等线" w:hAnsi="等线" w:eastAsia="等线" w:cs="等线"/>
                <w:color w:val="000000"/>
                <w:lang w:eastAsia="zh-CN"/>
              </w:rPr>
            </w:pPr>
          </w:p>
        </w:tc>
        <w:tc>
          <w:tcPr>
            <w:tcW w:w="829" w:type="pct"/>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产出质量</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（8分）</w:t>
            </w: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土地收回并达到生态修复条件</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8%</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合格</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49" w:type="pct"/>
            <w:vMerge w:val="continue"/>
            <w:vAlign w:val="center"/>
          </w:tcPr>
          <w:p>
            <w:pPr>
              <w:spacing w:after="0" w:line="360" w:lineRule="auto"/>
              <w:jc w:val="center"/>
              <w:rPr>
                <w:rFonts w:ascii="等线" w:hAnsi="等线" w:eastAsia="等线" w:cs="等线"/>
                <w:color w:val="000000"/>
                <w:lang w:eastAsia="zh-CN"/>
              </w:rPr>
            </w:pPr>
          </w:p>
        </w:tc>
        <w:tc>
          <w:tcPr>
            <w:tcW w:w="829" w:type="pct"/>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产出时效</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（6分）</w:t>
            </w: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流转费兑付及时性</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不及时</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0</w:t>
            </w:r>
            <w:r>
              <w:rPr>
                <w:rFonts w:hint="eastAsia" w:ascii="等线" w:hAnsi="等线" w:eastAsia="等线" w:cs="等线"/>
                <w:color w:val="00000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49" w:type="pct"/>
            <w:vMerge w:val="continue"/>
            <w:vAlign w:val="center"/>
          </w:tcPr>
          <w:p>
            <w:pPr>
              <w:spacing w:after="0" w:line="360" w:lineRule="auto"/>
              <w:jc w:val="center"/>
              <w:rPr>
                <w:rFonts w:ascii="等线" w:hAnsi="等线" w:eastAsia="等线" w:cs="等线"/>
                <w:color w:val="000000"/>
                <w:lang w:eastAsia="zh-CN"/>
              </w:rPr>
            </w:pPr>
          </w:p>
        </w:tc>
        <w:tc>
          <w:tcPr>
            <w:tcW w:w="829" w:type="pct"/>
            <w:vMerge w:val="restart"/>
            <w:vAlign w:val="center"/>
          </w:tcPr>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产出成本</w:t>
            </w:r>
          </w:p>
          <w:p>
            <w:pPr>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（10分）</w:t>
            </w: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项目成本控制</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≤242.619万元</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49" w:type="pct"/>
            <w:vMerge w:val="continue"/>
            <w:vAlign w:val="center"/>
          </w:tcPr>
          <w:p>
            <w:pPr>
              <w:spacing w:after="0" w:line="360" w:lineRule="auto"/>
              <w:jc w:val="center"/>
              <w:rPr>
                <w:rFonts w:ascii="等线" w:hAnsi="等线" w:eastAsia="等线" w:cs="等线"/>
                <w:color w:val="000000"/>
                <w:lang w:eastAsia="zh-CN"/>
              </w:rPr>
            </w:pPr>
          </w:p>
        </w:tc>
        <w:tc>
          <w:tcPr>
            <w:tcW w:w="829" w:type="pct"/>
            <w:vMerge w:val="continue"/>
            <w:vAlign w:val="center"/>
          </w:tcPr>
          <w:p>
            <w:pPr>
              <w:spacing w:after="0" w:line="240" w:lineRule="auto"/>
              <w:jc w:val="center"/>
              <w:rPr>
                <w:rFonts w:ascii="等线" w:hAnsi="等线" w:eastAsia="等线" w:cs="等线"/>
                <w:color w:val="000000"/>
                <w:lang w:eastAsia="zh-CN"/>
              </w:rPr>
            </w:pPr>
          </w:p>
        </w:tc>
        <w:tc>
          <w:tcPr>
            <w:tcW w:w="1750"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补助标准</w:t>
            </w:r>
          </w:p>
        </w:tc>
        <w:tc>
          <w:tcPr>
            <w:tcW w:w="574"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726" w:type="pct"/>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600元/亩</w:t>
            </w:r>
          </w:p>
        </w:tc>
        <w:tc>
          <w:tcPr>
            <w:tcW w:w="469" w:type="pct"/>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229" w:type="pct"/>
            <w:gridSpan w:val="3"/>
            <w:tcBorders>
              <w:bottom w:val="single" w:color="auto" w:sz="12"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合计</w:t>
            </w:r>
          </w:p>
        </w:tc>
        <w:tc>
          <w:tcPr>
            <w:tcW w:w="574" w:type="pct"/>
            <w:tcBorders>
              <w:bottom w:val="single" w:color="auto" w:sz="12"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32%</w:t>
            </w:r>
          </w:p>
        </w:tc>
        <w:tc>
          <w:tcPr>
            <w:tcW w:w="726" w:type="pct"/>
            <w:tcBorders>
              <w:bottom w:val="single" w:color="auto" w:sz="12" w:space="0"/>
            </w:tcBorders>
            <w:noWrap/>
            <w:vAlign w:val="center"/>
          </w:tcPr>
          <w:p>
            <w:pPr>
              <w:widowControl w:val="0"/>
              <w:spacing w:after="0" w:line="360" w:lineRule="auto"/>
              <w:jc w:val="center"/>
              <w:rPr>
                <w:rFonts w:ascii="等线" w:hAnsi="等线" w:eastAsia="等线" w:cs="等线"/>
                <w:b/>
                <w:bCs/>
                <w:color w:val="000000"/>
                <w:lang w:eastAsia="zh-CN"/>
              </w:rPr>
            </w:pPr>
          </w:p>
        </w:tc>
        <w:tc>
          <w:tcPr>
            <w:tcW w:w="469" w:type="pct"/>
            <w:tcBorders>
              <w:bottom w:val="single" w:color="auto" w:sz="12"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24.49</w:t>
            </w:r>
          </w:p>
        </w:tc>
      </w:tr>
    </w:tbl>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1.产出数量</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（1）兑付户数</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根据访谈内容，该项目涉及兑付流转费户数为444户。经核对流转费发放表，截至2023年2月28日，已兑付流转费户数为393户，还有51户因</w:t>
      </w:r>
      <w:r>
        <w:rPr>
          <w:rFonts w:hint="eastAsia" w:ascii="仿宋" w:hAnsi="仿宋" w:eastAsia="仿宋" w:cs="仿宋"/>
          <w:kern w:val="2"/>
          <w:sz w:val="28"/>
          <w:szCs w:val="28"/>
          <w:lang w:val="en-US" w:eastAsia="zh-CN"/>
        </w:rPr>
        <w:t>村民</w:t>
      </w:r>
      <w:r>
        <w:rPr>
          <w:rFonts w:hint="eastAsia" w:ascii="仿宋" w:hAnsi="仿宋" w:eastAsia="仿宋" w:cs="仿宋"/>
          <w:kern w:val="2"/>
          <w:sz w:val="28"/>
          <w:szCs w:val="28"/>
          <w:lang w:eastAsia="zh-CN"/>
        </w:rPr>
        <w:t>对流转费每亩补助标准不满故未签订流转协议。该指标满分4.00分，根据评分标准得3.54分。</w:t>
      </w:r>
    </w:p>
    <w:p>
      <w:pPr>
        <w:widowControl w:val="0"/>
        <w:spacing w:after="0" w:line="360" w:lineRule="auto"/>
        <w:ind w:firstLine="560" w:firstLineChars="200"/>
        <w:jc w:val="both"/>
        <w:rPr>
          <w:rFonts w:ascii="仿宋" w:hAnsi="仿宋" w:eastAsia="仿宋" w:cs="仿宋"/>
          <w:b/>
          <w:bCs/>
          <w:kern w:val="2"/>
          <w:sz w:val="28"/>
          <w:szCs w:val="28"/>
          <w:lang w:eastAsia="zh-CN"/>
        </w:rPr>
      </w:pPr>
      <w:r>
        <w:rPr>
          <w:rFonts w:hint="eastAsia" w:ascii="仿宋" w:hAnsi="仿宋" w:eastAsia="仿宋" w:cs="仿宋"/>
          <w:kern w:val="2"/>
          <w:sz w:val="28"/>
          <w:szCs w:val="28"/>
          <w:lang w:eastAsia="zh-CN"/>
        </w:rPr>
        <w:t>（2）收回责任地</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根据勘测，通贵乡流转责任地共4043.65亩。目前已收回2984.8亩，还有1058.85亩因部分群众未签订流转协议而导致土地未收回。该指标满分4.00分，根据评分标准得2.95分。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2.产出质量</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根据现场走访目前已收回的流转责任地已达到生态修复条件，流转责任地从2019年开始禁止开垦农作。目前土地已长满植被，地面未见有建筑物，野生动物数量也较未收回前有所增加。进入流转责任地的每个路口皆设置了铁门，并树立“禁止入内”的警示牌，同时安装了监控和报警装置，一旦有人进入报警装置就会发出警告，保证了流转责任地生态修复的有效进行。该指标满分8.00分，根据评分标准得8.00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3.产出时效</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由于2022年的流转费在2023年一月才拨付到通贵乡人民政府，所以2022年的流转费在2023年</w:t>
      </w:r>
      <w:r>
        <w:rPr>
          <w:rFonts w:hint="eastAsia" w:ascii="仿宋" w:hAnsi="仿宋" w:eastAsia="仿宋" w:cs="仿宋"/>
          <w:kern w:val="2"/>
          <w:sz w:val="28"/>
          <w:szCs w:val="28"/>
          <w:lang w:val="en-US" w:eastAsia="zh-CN"/>
        </w:rPr>
        <w:t>各村</w:t>
      </w:r>
      <w:r>
        <w:rPr>
          <w:rFonts w:hint="eastAsia" w:ascii="仿宋" w:hAnsi="仿宋" w:eastAsia="仿宋" w:cs="仿宋"/>
          <w:kern w:val="2"/>
          <w:sz w:val="28"/>
          <w:szCs w:val="28"/>
          <w:lang w:eastAsia="zh-CN"/>
        </w:rPr>
        <w:t>才开始拨付。</w:t>
      </w:r>
      <w:r>
        <w:rPr>
          <w:rFonts w:hint="default" w:ascii="仿宋" w:hAnsi="仿宋" w:eastAsia="仿宋" w:cs="仿宋"/>
          <w:kern w:val="2"/>
          <w:sz w:val="28"/>
          <w:szCs w:val="28"/>
          <w:lang w:eastAsia="zh-CN"/>
        </w:rPr>
        <w:t>故</w:t>
      </w:r>
      <w:r>
        <w:rPr>
          <w:rFonts w:hint="eastAsia" w:ascii="仿宋" w:hAnsi="仿宋" w:eastAsia="仿宋" w:cs="仿宋"/>
          <w:kern w:val="2"/>
          <w:sz w:val="28"/>
          <w:szCs w:val="28"/>
          <w:lang w:eastAsia="zh-CN"/>
        </w:rPr>
        <w:t>2022年黄河银川段两岸河滩地收回整治生态修复项目在资金兑付上存在滞后性。该指标满分6.00分，根据评分标准得0.00分。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4.产出成本</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（1）项目成本控制</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2022年黄河银川段两岸河滩地收回整治生态修复项目预算资金为242.619万元，目前已兑付流转费179.0934万元，项目目前未超过计划指标，资金额度符合指标文件批复内容。该指标满分6.00分，根据评分标准得6.00分。</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（2）补助标准</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《黄河银川段两岸河滩地收回整治生态修复工作方案》（银政办发〔2019〕127号）和《兴庆区河滩地收回实施方案》（银兴政办发〔2019〕70号）根据每亩产值确定了流转责任地补偿标准为每亩600元。经过现场</w:t>
      </w:r>
      <w:r>
        <w:rPr>
          <w:rFonts w:hint="eastAsia" w:ascii="仿宋" w:hAnsi="仿宋" w:eastAsia="仿宋" w:cs="仿宋"/>
          <w:kern w:val="2"/>
          <w:sz w:val="28"/>
          <w:szCs w:val="28"/>
          <w:lang w:val="en-US" w:eastAsia="zh-CN"/>
        </w:rPr>
        <w:t>查看</w:t>
      </w:r>
      <w:r>
        <w:rPr>
          <w:rFonts w:hint="eastAsia" w:ascii="仿宋" w:hAnsi="仿宋" w:eastAsia="仿宋" w:cs="仿宋"/>
          <w:kern w:val="2"/>
          <w:sz w:val="28"/>
          <w:szCs w:val="28"/>
          <w:lang w:eastAsia="zh-CN"/>
        </w:rPr>
        <w:t>通贵乡</w:t>
      </w:r>
      <w:r>
        <w:rPr>
          <w:rFonts w:hint="eastAsia" w:ascii="仿宋" w:hAnsi="仿宋" w:eastAsia="仿宋" w:cs="仿宋"/>
          <w:kern w:val="2"/>
          <w:sz w:val="28"/>
          <w:szCs w:val="28"/>
          <w:lang w:val="en-US" w:eastAsia="zh-CN"/>
        </w:rPr>
        <w:t>各村</w:t>
      </w:r>
      <w:r>
        <w:rPr>
          <w:rFonts w:hint="eastAsia" w:ascii="仿宋" w:hAnsi="仿宋" w:eastAsia="仿宋" w:cs="仿宋"/>
          <w:kern w:val="2"/>
          <w:sz w:val="28"/>
          <w:szCs w:val="28"/>
          <w:lang w:eastAsia="zh-CN"/>
        </w:rPr>
        <w:t>与农户签订的流转责任地协议，协议按照每亩600元进行兑付。该指标满分4.00分，根据评分标准得4.00分。</w:t>
      </w:r>
    </w:p>
    <w:p>
      <w:pPr>
        <w:pStyle w:val="4"/>
        <w:widowControl w:val="0"/>
        <w:spacing w:before="0" w:line="360" w:lineRule="auto"/>
        <w:ind w:firstLine="562" w:firstLineChars="200"/>
        <w:jc w:val="both"/>
        <w:rPr>
          <w:rFonts w:ascii="仿宋" w:hAnsi="仿宋" w:eastAsia="仿宋" w:cs="仿宋"/>
          <w:sz w:val="28"/>
          <w:szCs w:val="28"/>
          <w:lang w:eastAsia="zh-CN"/>
        </w:rPr>
      </w:pPr>
      <w:bookmarkStart w:id="138" w:name="_Toc16559"/>
      <w:bookmarkStart w:id="139" w:name="_Toc6709"/>
      <w:bookmarkStart w:id="140" w:name="_Toc10014"/>
      <w:bookmarkStart w:id="141" w:name="_Toc119851502"/>
      <w:r>
        <w:rPr>
          <w:rFonts w:hint="eastAsia" w:ascii="仿宋" w:hAnsi="仿宋" w:eastAsia="仿宋" w:cs="仿宋"/>
          <w:sz w:val="28"/>
          <w:szCs w:val="28"/>
          <w:lang w:eastAsia="zh-CN"/>
        </w:rPr>
        <w:t>（四）项目效益</w:t>
      </w:r>
      <w:bookmarkEnd w:id="138"/>
      <w:bookmarkEnd w:id="139"/>
      <w:bookmarkEnd w:id="140"/>
      <w:bookmarkEnd w:id="141"/>
    </w:p>
    <w:p>
      <w:pPr>
        <w:widowControl w:val="0"/>
        <w:tabs>
          <w:tab w:val="left" w:pos="1026"/>
        </w:tabs>
        <w:spacing w:after="0" w:line="360" w:lineRule="auto"/>
        <w:ind w:firstLine="560" w:firstLineChars="200"/>
        <w:jc w:val="both"/>
        <w:rPr>
          <w:rFonts w:ascii="等线" w:hAnsi="等线" w:eastAsia="等线" w:cs="等线"/>
          <w:b/>
          <w:color w:val="000000"/>
          <w:kern w:val="2"/>
          <w:lang w:eastAsia="zh-CN"/>
        </w:rPr>
      </w:pPr>
      <w:r>
        <w:rPr>
          <w:rFonts w:hint="eastAsia" w:ascii="仿宋" w:hAnsi="仿宋" w:eastAsia="仿宋" w:cs="仿宋"/>
          <w:kern w:val="2"/>
          <w:sz w:val="28"/>
          <w:szCs w:val="28"/>
          <w:lang w:val="zh-TW" w:eastAsia="zh-CN"/>
        </w:rPr>
        <w:t>项目效益类指标由</w:t>
      </w:r>
      <w:r>
        <w:rPr>
          <w:rFonts w:hint="eastAsia" w:ascii="仿宋" w:hAnsi="仿宋" w:eastAsia="仿宋" w:cs="仿宋"/>
          <w:kern w:val="2"/>
          <w:sz w:val="28"/>
          <w:szCs w:val="28"/>
          <w:lang w:eastAsia="zh-CN"/>
        </w:rPr>
        <w:t>4</w:t>
      </w:r>
      <w:r>
        <w:rPr>
          <w:rFonts w:hint="eastAsia" w:ascii="仿宋" w:hAnsi="仿宋" w:eastAsia="仿宋" w:cs="仿宋"/>
          <w:kern w:val="2"/>
          <w:sz w:val="28"/>
          <w:szCs w:val="28"/>
          <w:lang w:val="zh-TW" w:eastAsia="zh-CN"/>
        </w:rPr>
        <w:t>个二级指标和</w:t>
      </w:r>
      <w:r>
        <w:rPr>
          <w:rFonts w:hint="eastAsia" w:ascii="仿宋" w:hAnsi="仿宋" w:eastAsia="仿宋" w:cs="仿宋"/>
          <w:kern w:val="2"/>
          <w:sz w:val="28"/>
          <w:szCs w:val="28"/>
          <w:lang w:eastAsia="zh-CN"/>
        </w:rPr>
        <w:t>5</w:t>
      </w:r>
      <w:r>
        <w:rPr>
          <w:rFonts w:hint="eastAsia" w:ascii="仿宋" w:hAnsi="仿宋" w:eastAsia="仿宋" w:cs="仿宋"/>
          <w:kern w:val="2"/>
          <w:sz w:val="28"/>
          <w:szCs w:val="28"/>
          <w:lang w:val="zh-TW" w:eastAsia="zh-CN"/>
        </w:rPr>
        <w:t>个三级指标构成，权重分28分，实际得分</w:t>
      </w:r>
      <w:r>
        <w:rPr>
          <w:rFonts w:hint="eastAsia" w:ascii="仿宋" w:hAnsi="仿宋" w:eastAsia="仿宋" w:cs="仿宋"/>
          <w:kern w:val="2"/>
          <w:sz w:val="28"/>
          <w:szCs w:val="28"/>
          <w:lang w:eastAsia="zh-CN"/>
        </w:rPr>
        <w:t>23.51</w:t>
      </w:r>
      <w:r>
        <w:rPr>
          <w:rFonts w:hint="eastAsia" w:ascii="仿宋" w:hAnsi="仿宋" w:eastAsia="仿宋" w:cs="仿宋"/>
          <w:kern w:val="2"/>
          <w:sz w:val="28"/>
          <w:szCs w:val="28"/>
          <w:lang w:val="zh-TW" w:eastAsia="zh-CN"/>
        </w:rPr>
        <w:t>分。各指标业绩值和绩效分值如下表所示：</w:t>
      </w:r>
    </w:p>
    <w:p>
      <w:pPr>
        <w:widowControl w:val="0"/>
        <w:spacing w:after="0" w:line="360" w:lineRule="auto"/>
        <w:ind w:firstLine="440" w:firstLineChars="200"/>
        <w:jc w:val="center"/>
        <w:rPr>
          <w:rFonts w:ascii="等线" w:hAnsi="等线" w:eastAsia="等线" w:cs="等线"/>
          <w:b/>
          <w:color w:val="000000"/>
          <w:kern w:val="2"/>
          <w:lang w:eastAsia="zh-CN"/>
        </w:rPr>
      </w:pPr>
      <w:r>
        <w:rPr>
          <w:rFonts w:hint="eastAsia" w:ascii="等线" w:hAnsi="等线" w:eastAsia="等线" w:cs="等线"/>
          <w:b/>
          <w:color w:val="000000"/>
          <w:kern w:val="2"/>
          <w:lang w:eastAsia="zh-CN"/>
        </w:rPr>
        <w:t>项目效益指标及分值</w:t>
      </w:r>
    </w:p>
    <w:tbl>
      <w:tblPr>
        <w:tblStyle w:val="15"/>
        <w:tblW w:w="5000" w:type="pct"/>
        <w:jc w:val="center"/>
        <w:tblBorders>
          <w:top w:val="none" w:color="auto" w:sz="4" w:space="0"/>
          <w:left w:val="single" w:color="auto" w:sz="4" w:space="0"/>
          <w:bottom w:val="non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656"/>
        <w:gridCol w:w="1778"/>
        <w:gridCol w:w="2242"/>
        <w:gridCol w:w="776"/>
        <w:gridCol w:w="1241"/>
        <w:gridCol w:w="829"/>
      </w:tblGrid>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91" w:hRule="atLeast"/>
          <w:jc w:val="center"/>
        </w:trPr>
        <w:tc>
          <w:tcPr>
            <w:tcW w:w="971" w:type="pct"/>
            <w:tcBorders>
              <w:top w:val="single" w:color="auto" w:sz="12" w:space="0"/>
              <w:bottom w:val="single" w:color="auto" w:sz="4" w:space="0"/>
              <w:right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一级指标</w:t>
            </w:r>
          </w:p>
        </w:tc>
        <w:tc>
          <w:tcPr>
            <w:tcW w:w="1043" w:type="pct"/>
            <w:tcBorders>
              <w:top w:val="single" w:color="auto" w:sz="12"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二级指标</w:t>
            </w:r>
          </w:p>
        </w:tc>
        <w:tc>
          <w:tcPr>
            <w:tcW w:w="1314" w:type="pct"/>
            <w:tcBorders>
              <w:top w:val="single" w:color="auto" w:sz="12"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三级指标</w:t>
            </w:r>
          </w:p>
        </w:tc>
        <w:tc>
          <w:tcPr>
            <w:tcW w:w="455" w:type="pct"/>
            <w:tcBorders>
              <w:top w:val="single" w:color="auto" w:sz="12"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权重</w:t>
            </w:r>
          </w:p>
        </w:tc>
        <w:tc>
          <w:tcPr>
            <w:tcW w:w="728" w:type="pct"/>
            <w:tcBorders>
              <w:top w:val="single" w:color="auto" w:sz="12"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实际值</w:t>
            </w:r>
          </w:p>
        </w:tc>
        <w:tc>
          <w:tcPr>
            <w:tcW w:w="486" w:type="pct"/>
            <w:tcBorders>
              <w:top w:val="single" w:color="auto" w:sz="12" w:space="0"/>
              <w:left w:val="single" w:color="auto" w:sz="4" w:space="0"/>
              <w:bottom w:val="single" w:color="auto" w:sz="4" w:space="0"/>
            </w:tcBorders>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得分</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21" w:hRule="atLeast"/>
          <w:jc w:val="center"/>
        </w:trPr>
        <w:tc>
          <w:tcPr>
            <w:tcW w:w="971" w:type="pct"/>
            <w:vMerge w:val="restart"/>
            <w:tcBorders>
              <w:top w:val="single" w:color="auto" w:sz="4" w:space="0"/>
              <w:right w:val="single" w:color="auto" w:sz="4" w:space="0"/>
            </w:tcBorders>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项目效益</w:t>
            </w:r>
          </w:p>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（28分）</w:t>
            </w:r>
          </w:p>
        </w:tc>
        <w:tc>
          <w:tcPr>
            <w:tcW w:w="1043" w:type="pct"/>
            <w:tcBorders>
              <w:top w:val="single" w:color="auto" w:sz="4" w:space="0"/>
              <w:left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社会效益</w:t>
            </w: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rPr>
              <w:t>（</w:t>
            </w:r>
            <w:r>
              <w:rPr>
                <w:rFonts w:hint="eastAsia" w:ascii="等线" w:hAnsi="等线" w:eastAsia="等线" w:cs="等线"/>
                <w:color w:val="000000"/>
                <w:lang w:eastAsia="zh-CN"/>
              </w:rPr>
              <w:t>4</w:t>
            </w:r>
            <w:r>
              <w:rPr>
                <w:rFonts w:hint="eastAsia" w:ascii="等线" w:hAnsi="等线" w:eastAsia="等线" w:cs="等线"/>
                <w:color w:val="000000"/>
              </w:rPr>
              <w:t>分</w:t>
            </w:r>
            <w:r>
              <w:rPr>
                <w:rFonts w:hint="eastAsia" w:ascii="等线" w:hAnsi="等线" w:eastAsia="等线" w:cs="等线"/>
                <w:color w:val="000000"/>
                <w:lang w:eastAsia="zh-CN"/>
              </w:rPr>
              <w:t>）</w:t>
            </w:r>
          </w:p>
        </w:tc>
        <w:tc>
          <w:tcPr>
            <w:tcW w:w="1314"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带动周边旅游业发展</w:t>
            </w:r>
          </w:p>
        </w:tc>
        <w:tc>
          <w:tcPr>
            <w:tcW w:w="455"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728"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c>
          <w:tcPr>
            <w:tcW w:w="486" w:type="pct"/>
            <w:tcBorders>
              <w:top w:val="single" w:color="auto" w:sz="4" w:space="0"/>
              <w:left w:val="single" w:color="auto" w:sz="4" w:space="0"/>
              <w:bottom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2.00</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0" w:hRule="atLeast"/>
          <w:jc w:val="center"/>
        </w:trPr>
        <w:tc>
          <w:tcPr>
            <w:tcW w:w="971" w:type="pct"/>
            <w:vMerge w:val="continue"/>
            <w:tcBorders>
              <w:right w:val="single" w:color="auto" w:sz="4" w:space="0"/>
            </w:tcBorders>
            <w:vAlign w:val="center"/>
          </w:tcPr>
          <w:p>
            <w:pPr>
              <w:widowControl w:val="0"/>
              <w:spacing w:after="0" w:line="360" w:lineRule="auto"/>
              <w:jc w:val="center"/>
              <w:rPr>
                <w:rFonts w:ascii="等线" w:hAnsi="等线" w:eastAsia="等线" w:cs="等线"/>
                <w:color w:val="000000"/>
                <w:lang w:eastAsia="zh-CN"/>
              </w:rPr>
            </w:pPr>
          </w:p>
        </w:tc>
        <w:tc>
          <w:tcPr>
            <w:tcW w:w="1043" w:type="pct"/>
            <w:vMerge w:val="restart"/>
            <w:tcBorders>
              <w:top w:val="single" w:color="auto" w:sz="4" w:space="0"/>
              <w:left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生态效益</w:t>
            </w: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w:t>
            </w:r>
            <w:r>
              <w:rPr>
                <w:rFonts w:hint="eastAsia" w:ascii="等线" w:hAnsi="等线" w:eastAsia="等线" w:cs="等线"/>
                <w:color w:val="000000"/>
                <w:lang w:val="en-US" w:eastAsia="zh-CN"/>
              </w:rPr>
              <w:t>10</w:t>
            </w:r>
            <w:r>
              <w:rPr>
                <w:rFonts w:hint="eastAsia" w:ascii="等线" w:hAnsi="等线" w:eastAsia="等线" w:cs="等线"/>
                <w:color w:val="000000"/>
                <w:lang w:eastAsia="zh-CN"/>
              </w:rPr>
              <w:t>分）</w:t>
            </w:r>
          </w:p>
        </w:tc>
        <w:tc>
          <w:tcPr>
            <w:tcW w:w="1314"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改善水质</w:t>
            </w:r>
          </w:p>
        </w:tc>
        <w:tc>
          <w:tcPr>
            <w:tcW w:w="455" w:type="pct"/>
            <w:tcBorders>
              <w:top w:val="single" w:color="auto" w:sz="4"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728" w:type="pct"/>
            <w:tcBorders>
              <w:top w:val="single" w:color="auto" w:sz="4"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c>
          <w:tcPr>
            <w:tcW w:w="486" w:type="pct"/>
            <w:tcBorders>
              <w:top w:val="single" w:color="auto" w:sz="4" w:space="0"/>
              <w:left w:val="single" w:color="auto" w:sz="4" w:space="0"/>
              <w:bottom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5.00</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0" w:hRule="atLeast"/>
          <w:jc w:val="center"/>
        </w:trPr>
        <w:tc>
          <w:tcPr>
            <w:tcW w:w="971" w:type="pct"/>
            <w:vMerge w:val="continue"/>
            <w:tcBorders>
              <w:right w:val="single" w:color="auto" w:sz="4" w:space="0"/>
            </w:tcBorders>
            <w:vAlign w:val="center"/>
          </w:tcPr>
          <w:p>
            <w:pPr>
              <w:widowControl w:val="0"/>
              <w:spacing w:after="0" w:line="360" w:lineRule="auto"/>
              <w:jc w:val="center"/>
              <w:rPr>
                <w:rFonts w:ascii="等线" w:hAnsi="等线" w:eastAsia="等线" w:cs="等线"/>
                <w:color w:val="000000"/>
                <w:lang w:eastAsia="zh-CN"/>
              </w:rPr>
            </w:pPr>
          </w:p>
        </w:tc>
        <w:tc>
          <w:tcPr>
            <w:tcW w:w="1043" w:type="pct"/>
            <w:vMerge w:val="continue"/>
            <w:tcBorders>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p>
        </w:tc>
        <w:tc>
          <w:tcPr>
            <w:tcW w:w="1314"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减少区域水土流失</w:t>
            </w:r>
          </w:p>
        </w:tc>
        <w:tc>
          <w:tcPr>
            <w:tcW w:w="455" w:type="pct"/>
            <w:tcBorders>
              <w:top w:val="single" w:color="auto" w:sz="4"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728" w:type="pct"/>
            <w:tcBorders>
              <w:top w:val="single" w:color="auto" w:sz="4" w:space="0"/>
              <w:left w:val="single" w:color="auto" w:sz="4" w:space="0"/>
              <w:bottom w:val="single" w:color="auto" w:sz="4" w:space="0"/>
              <w:right w:val="single" w:color="auto" w:sz="4" w:space="0"/>
            </w:tcBorders>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有效减少</w:t>
            </w:r>
          </w:p>
        </w:tc>
        <w:tc>
          <w:tcPr>
            <w:tcW w:w="486" w:type="pct"/>
            <w:tcBorders>
              <w:top w:val="single" w:color="auto" w:sz="4" w:space="0"/>
              <w:left w:val="single" w:color="auto" w:sz="4" w:space="0"/>
              <w:bottom w:val="single" w:color="auto" w:sz="4" w:space="0"/>
            </w:tcBorders>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5.00</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971" w:type="pct"/>
            <w:vMerge w:val="continue"/>
            <w:tcBorders>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p>
        </w:tc>
        <w:tc>
          <w:tcPr>
            <w:tcW w:w="1043" w:type="pc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可持续影响</w:t>
            </w: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（4分）</w:t>
            </w:r>
          </w:p>
        </w:tc>
        <w:tc>
          <w:tcPr>
            <w:tcW w:w="1314"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河滩地修复</w:t>
            </w: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728"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c>
          <w:tcPr>
            <w:tcW w:w="486"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4.00</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971" w:type="pct"/>
            <w:vMerge w:val="continue"/>
            <w:tcBorders>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p>
        </w:tc>
        <w:tc>
          <w:tcPr>
            <w:tcW w:w="1043" w:type="pc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满意度</w:t>
            </w: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（10分）</w:t>
            </w:r>
          </w:p>
        </w:tc>
        <w:tc>
          <w:tcPr>
            <w:tcW w:w="1314"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受益村民满意度</w:t>
            </w: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10%</w:t>
            </w:r>
          </w:p>
        </w:tc>
        <w:tc>
          <w:tcPr>
            <w:tcW w:w="728"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75.1%</w:t>
            </w:r>
          </w:p>
        </w:tc>
        <w:tc>
          <w:tcPr>
            <w:tcW w:w="486"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7.51</w:t>
            </w:r>
          </w:p>
        </w:tc>
      </w:tr>
      <w:tr>
        <w:tblPrEx>
          <w:tblBorders>
            <w:top w:val="none" w:color="auto" w:sz="4" w:space="0"/>
            <w:left w:val="singl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329" w:type="pct"/>
            <w:gridSpan w:val="3"/>
            <w:tcBorders>
              <w:top w:val="single" w:color="auto" w:sz="4" w:space="0"/>
              <w:bottom w:val="single" w:color="auto" w:sz="12" w:space="0"/>
              <w:right w:val="single" w:color="auto" w:sz="4"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合计</w:t>
            </w:r>
          </w:p>
        </w:tc>
        <w:tc>
          <w:tcPr>
            <w:tcW w:w="455"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28%</w:t>
            </w:r>
          </w:p>
        </w:tc>
        <w:tc>
          <w:tcPr>
            <w:tcW w:w="728"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360" w:lineRule="auto"/>
              <w:jc w:val="center"/>
              <w:rPr>
                <w:rFonts w:ascii="等线" w:hAnsi="等线" w:eastAsia="等线" w:cs="等线"/>
                <w:b/>
                <w:bCs/>
                <w:color w:val="000000"/>
                <w:lang w:eastAsia="zh-CN"/>
              </w:rPr>
            </w:pPr>
          </w:p>
        </w:tc>
        <w:tc>
          <w:tcPr>
            <w:tcW w:w="486" w:type="pct"/>
            <w:tcBorders>
              <w:top w:val="single" w:color="auto" w:sz="4" w:space="0"/>
              <w:left w:val="single" w:color="auto" w:sz="4" w:space="0"/>
              <w:bottom w:val="single" w:color="auto" w:sz="12" w:space="0"/>
            </w:tcBorders>
            <w:noWrap/>
            <w:vAlign w:val="center"/>
          </w:tcPr>
          <w:p>
            <w:pPr>
              <w:widowControl w:val="0"/>
              <w:spacing w:after="0" w:line="36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23.51</w:t>
            </w:r>
          </w:p>
        </w:tc>
      </w:tr>
    </w:tbl>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1.社会效益</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2022年黄河银川段两岸河滩地收回整治生态修复项目计划绿化美化滨河大道，打造文化旅游景观带，带动周边旅游业发展。目前收回的流转责任地已经开始进行自然修护，但还未开始整治生态，文化旅游景观带还未开始建设，目前相关社会效益未能全部体现。该指标满分4.00分，根据评分标准得2.00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2.生态效益</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（1）改善水质</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村民种地农作物时使用化肥的过程中会产生一些污染物质，污染物质随着灌溉渗透至地下水，导致污染土地、地下水及黄河河水。通过收回并整治黄河河滩地，禁止种植并停止化肥的使用，使得黄河银川段区域内水体水质较之前有了较大的提升。该指标满分5.00分，根据评分标准得5.00分。</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（2）减少区域水土流失</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通过停止农业耕种及停止农业灌溉，使得周围树木杂草得以生长，黄河银川段区域内植被覆盖率提高，对土壤起到固定作用，减少区域内水土流失。该指标满分5.00分，根据评分标准得5.00分。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3.可持续影响</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黄河两岸河滩地收回整治是一项战略性生态工程，该项目实施推动了生态环境保护和修复。根据现场走访，从2019年开始流转责任地停止耕种，目前收回的流转责任地已经开始自然修复。该指标满分4.00分，根据评分标准得4.00分。</w:t>
      </w:r>
    </w:p>
    <w:p>
      <w:pPr>
        <w:widowControl w:val="0"/>
        <w:spacing w:after="0" w:line="360" w:lineRule="auto"/>
        <w:ind w:firstLine="562" w:firstLineChars="200"/>
        <w:jc w:val="both"/>
        <w:rPr>
          <w:rFonts w:ascii="仿宋" w:hAnsi="仿宋" w:eastAsia="仿宋" w:cs="仿宋"/>
          <w:b/>
          <w:bCs/>
          <w:kern w:val="2"/>
          <w:sz w:val="28"/>
          <w:szCs w:val="28"/>
          <w:lang w:eastAsia="zh-CN"/>
        </w:rPr>
      </w:pPr>
      <w:r>
        <w:rPr>
          <w:rFonts w:hint="eastAsia" w:ascii="仿宋" w:hAnsi="仿宋" w:eastAsia="仿宋" w:cs="仿宋"/>
          <w:b/>
          <w:bCs/>
          <w:kern w:val="2"/>
          <w:sz w:val="28"/>
          <w:szCs w:val="28"/>
          <w:lang w:eastAsia="zh-CN"/>
        </w:rPr>
        <w:t>4.受益村民满意度</w:t>
      </w:r>
    </w:p>
    <w:p>
      <w:pPr>
        <w:widowControl w:val="0"/>
        <w:tabs>
          <w:tab w:val="left" w:pos="1026"/>
        </w:tabs>
        <w:spacing w:after="0" w:line="360" w:lineRule="auto"/>
        <w:ind w:firstLine="560" w:firstLineChars="200"/>
        <w:jc w:val="both"/>
        <w:rPr>
          <w:rFonts w:ascii="仿宋" w:hAnsi="仿宋" w:eastAsia="仿宋" w:cs="仿宋"/>
          <w:kern w:val="2"/>
          <w:sz w:val="28"/>
          <w:szCs w:val="28"/>
          <w:lang w:eastAsia="zh-CN"/>
        </w:rPr>
      </w:pPr>
      <w:r>
        <w:rPr>
          <w:rFonts w:hint="eastAsia" w:ascii="仿宋" w:hAnsi="仿宋" w:eastAsia="仿宋" w:cs="仿宋"/>
          <w:kern w:val="2"/>
          <w:sz w:val="28"/>
          <w:szCs w:val="28"/>
          <w:lang w:eastAsia="zh-CN"/>
        </w:rPr>
        <w:t>对2022年黄河银川段两岸河滩地收回整治生态修复项目涉及受益群众进行线上问卷和电话回访相结合的方式调查。选取通贵乡</w:t>
      </w:r>
      <w:r>
        <w:rPr>
          <w:rFonts w:hint="eastAsia" w:ascii="仿宋" w:hAnsi="仿宋" w:eastAsia="仿宋" w:cs="仿宋"/>
          <w:kern w:val="2"/>
          <w:sz w:val="28"/>
          <w:szCs w:val="28"/>
          <w:lang w:val="en-US" w:eastAsia="zh-CN"/>
        </w:rPr>
        <w:t>河滩村、通南村、通贵村、通北村</w:t>
      </w:r>
      <w:r>
        <w:rPr>
          <w:rFonts w:hint="eastAsia" w:ascii="仿宋" w:hAnsi="仿宋" w:eastAsia="仿宋" w:cs="仿宋"/>
          <w:kern w:val="2"/>
          <w:sz w:val="28"/>
          <w:szCs w:val="28"/>
          <w:lang w:eastAsia="zh-CN"/>
        </w:rPr>
        <w:t>受益群众共109人进行线上问卷调查,51人进行电话回访，实际回收有效问卷160份，受益群众满意度为75.1%。该指标满分10.00分，根据评分标准得7.51分。</w:t>
      </w:r>
    </w:p>
    <w:p>
      <w:pPr>
        <w:pStyle w:val="3"/>
        <w:keepNext w:val="0"/>
        <w:keepLines w:val="0"/>
        <w:widowControl w:val="0"/>
        <w:spacing w:after="0" w:line="360" w:lineRule="auto"/>
        <w:jc w:val="both"/>
        <w:rPr>
          <w:rFonts w:ascii="仿宋" w:hAnsi="仿宋" w:eastAsia="仿宋" w:cs="仿宋"/>
          <w:sz w:val="32"/>
          <w:szCs w:val="32"/>
          <w:lang w:eastAsia="zh-CN"/>
        </w:rPr>
      </w:pPr>
      <w:bookmarkStart w:id="142" w:name="_Toc24520"/>
      <w:r>
        <w:rPr>
          <w:rFonts w:hint="eastAsia" w:ascii="仿宋" w:hAnsi="仿宋" w:eastAsia="仿宋" w:cs="仿宋"/>
          <w:sz w:val="32"/>
          <w:szCs w:val="32"/>
          <w:lang w:eastAsia="zh-CN"/>
        </w:rPr>
        <w:t>五、主要经验及做法、存在的问题及原因分析</w:t>
      </w:r>
      <w:bookmarkEnd w:id="142"/>
    </w:p>
    <w:p>
      <w:pPr>
        <w:pStyle w:val="4"/>
        <w:widowControl w:val="0"/>
        <w:spacing w:before="0" w:line="360" w:lineRule="auto"/>
        <w:ind w:firstLine="562" w:firstLineChars="200"/>
        <w:jc w:val="both"/>
        <w:rPr>
          <w:rFonts w:ascii="仿宋" w:hAnsi="仿宋" w:eastAsia="仿宋"/>
          <w:sz w:val="28"/>
          <w:lang w:eastAsia="zh-CN"/>
        </w:rPr>
      </w:pPr>
      <w:bookmarkStart w:id="143" w:name="_Toc28942"/>
      <w:bookmarkStart w:id="144" w:name="_Toc3724"/>
      <w:r>
        <w:rPr>
          <w:rFonts w:hint="eastAsia" w:ascii="仿宋" w:hAnsi="仿宋" w:eastAsia="仿宋"/>
          <w:sz w:val="28"/>
          <w:lang w:eastAsia="zh-CN"/>
        </w:rPr>
        <w:t>（一）存在的问题</w:t>
      </w:r>
      <w:bookmarkEnd w:id="143"/>
      <w:bookmarkEnd w:id="144"/>
    </w:p>
    <w:p>
      <w:pPr>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1.未提供绩效目标申报表</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兴庆区通贵乡人民政府未就</w:t>
      </w:r>
      <w:r>
        <w:rPr>
          <w:rFonts w:hint="eastAsia" w:ascii="仿宋" w:hAnsi="仿宋" w:eastAsia="仿宋" w:cs="仿宋"/>
          <w:kern w:val="2"/>
          <w:sz w:val="28"/>
          <w:szCs w:val="28"/>
          <w:lang w:eastAsia="zh-CN"/>
        </w:rPr>
        <w:t>2022年黄河银川段两岸河滩地收回整治生态修复项目</w:t>
      </w:r>
      <w:r>
        <w:rPr>
          <w:rFonts w:hint="eastAsia" w:ascii="仿宋" w:hAnsi="仿宋" w:eastAsia="仿宋"/>
          <w:sz w:val="28"/>
          <w:szCs w:val="28"/>
          <w:lang w:eastAsia="zh-CN"/>
        </w:rPr>
        <w:t>提供绩效目标申报表。绩效指标、指标标杆值设置不明确，在一定程度上影响了对项目实施的约束作用，无法有效考核项目产出和项目效益。</w:t>
      </w:r>
    </w:p>
    <w:p>
      <w:pPr>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2.流转费到位和兑付存在滞后性</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根据翻阅项目方凭证及查看兑付表情况，2021年的流转费于2022年5月到位并开始发放。2022年的流转费于2023年一月到位并开始发放。故流转费的到位和兑付存在滞后性。</w:t>
      </w:r>
    </w:p>
    <w:p>
      <w:pPr>
        <w:spacing w:after="0" w:line="360" w:lineRule="auto"/>
        <w:ind w:firstLine="562" w:firstLineChars="200"/>
        <w:jc w:val="both"/>
        <w:rPr>
          <w:lang w:eastAsia="zh-CN"/>
        </w:rPr>
      </w:pPr>
      <w:r>
        <w:rPr>
          <w:rFonts w:hint="eastAsia" w:ascii="仿宋" w:hAnsi="仿宋" w:eastAsia="仿宋"/>
          <w:b/>
          <w:bCs/>
          <w:sz w:val="28"/>
          <w:szCs w:val="28"/>
          <w:lang w:eastAsia="zh-CN"/>
        </w:rPr>
        <w:t>3.没有制定补发以前年度流转费的方案</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目前有51户村民没有签署流转责任地协议，且根据了解和群众反映目前在本年度签订协议的只发放本年度的流转费，以前年度的流转费目前没有补发的方案和年度预算。</w:t>
      </w:r>
      <w:bookmarkStart w:id="145" w:name="_Toc22617"/>
    </w:p>
    <w:p>
      <w:pPr>
        <w:pStyle w:val="4"/>
        <w:widowControl w:val="0"/>
        <w:numPr>
          <w:ilvl w:val="0"/>
          <w:numId w:val="2"/>
        </w:numPr>
        <w:spacing w:before="0" w:line="360" w:lineRule="auto"/>
        <w:ind w:firstLine="562" w:firstLineChars="200"/>
        <w:jc w:val="both"/>
        <w:rPr>
          <w:lang w:eastAsia="zh-CN"/>
        </w:rPr>
      </w:pPr>
      <w:bookmarkStart w:id="146" w:name="_Toc30406"/>
      <w:r>
        <w:rPr>
          <w:rFonts w:hint="eastAsia" w:ascii="仿宋" w:hAnsi="仿宋" w:eastAsia="仿宋"/>
          <w:sz w:val="28"/>
          <w:lang w:eastAsia="zh-CN"/>
        </w:rPr>
        <w:t>相关建议</w:t>
      </w:r>
      <w:bookmarkEnd w:id="145"/>
      <w:bookmarkEnd w:id="146"/>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1.及时填报并提供绩效目标申报表</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建议通贵乡人民政府及时填报并提供绩效目标申报表，在设置具体指标及指标值时，充分考虑指标的特点以及实现的难易度，设置细化的绩效指标以及量化的指标值，从而体现预算绩效管理的有效性。</w:t>
      </w:r>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2.及时兑付资金</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建议根据《关于兴庆区河滩地收回工作中2021年责任地流转费分配事宜》（银兴自然资发</w:t>
      </w:r>
      <w:r>
        <w:rPr>
          <w:rFonts w:hint="eastAsia" w:ascii="仿宋" w:hAnsi="仿宋" w:eastAsia="仿宋" w:cs="仿宋"/>
          <w:kern w:val="2"/>
          <w:sz w:val="28"/>
          <w:szCs w:val="28"/>
          <w:lang w:eastAsia="zh-CN"/>
        </w:rPr>
        <w:t>〔2022〕13号）中的</w:t>
      </w:r>
      <w:r>
        <w:rPr>
          <w:rFonts w:hint="eastAsia" w:ascii="仿宋" w:hAnsi="仿宋" w:eastAsia="仿宋" w:cs="仿宋"/>
          <w:kern w:val="2"/>
          <w:sz w:val="28"/>
          <w:szCs w:val="28"/>
          <w:lang w:val="en-US" w:eastAsia="zh-CN"/>
        </w:rPr>
        <w:t>规定，</w:t>
      </w:r>
      <w:r>
        <w:rPr>
          <w:rFonts w:hint="eastAsia" w:ascii="仿宋" w:hAnsi="仿宋" w:eastAsia="仿宋" w:cs="仿宋"/>
          <w:kern w:val="2"/>
          <w:sz w:val="28"/>
          <w:szCs w:val="28"/>
          <w:lang w:eastAsia="zh-CN"/>
        </w:rPr>
        <w:t>应</w:t>
      </w:r>
      <w:r>
        <w:rPr>
          <w:rFonts w:hint="eastAsia" w:ascii="仿宋" w:hAnsi="仿宋" w:eastAsia="仿宋"/>
          <w:sz w:val="28"/>
          <w:szCs w:val="28"/>
          <w:lang w:eastAsia="zh-CN"/>
        </w:rPr>
        <w:t>及时下达每一年度的流转费，并在本年度完成流转费的兑付。</w:t>
      </w:r>
    </w:p>
    <w:p>
      <w:pPr>
        <w:widowControl w:val="0"/>
        <w:spacing w:after="0" w:line="360" w:lineRule="auto"/>
        <w:ind w:firstLine="562" w:firstLineChars="200"/>
        <w:jc w:val="both"/>
        <w:rPr>
          <w:rFonts w:ascii="仿宋" w:hAnsi="仿宋" w:eastAsia="仿宋"/>
          <w:b/>
          <w:bCs/>
          <w:sz w:val="28"/>
          <w:szCs w:val="28"/>
          <w:lang w:eastAsia="zh-CN"/>
        </w:rPr>
      </w:pPr>
      <w:r>
        <w:rPr>
          <w:rFonts w:hint="eastAsia" w:ascii="仿宋" w:hAnsi="仿宋" w:eastAsia="仿宋"/>
          <w:b/>
          <w:bCs/>
          <w:sz w:val="28"/>
          <w:szCs w:val="28"/>
          <w:lang w:eastAsia="zh-CN"/>
        </w:rPr>
        <w:t>3.制定补发以前难度流转费方案</w:t>
      </w:r>
    </w:p>
    <w:p>
      <w:pPr>
        <w:widowControl w:val="0"/>
        <w:spacing w:after="0" w:line="360" w:lineRule="auto"/>
        <w:ind w:firstLine="560" w:firstLineChars="200"/>
        <w:jc w:val="both"/>
        <w:rPr>
          <w:rFonts w:ascii="仿宋" w:hAnsi="仿宋" w:eastAsia="仿宋"/>
          <w:sz w:val="28"/>
          <w:szCs w:val="28"/>
          <w:lang w:eastAsia="zh-CN"/>
        </w:rPr>
      </w:pPr>
      <w:r>
        <w:rPr>
          <w:rFonts w:hint="eastAsia" w:ascii="仿宋" w:hAnsi="仿宋" w:eastAsia="仿宋"/>
          <w:sz w:val="28"/>
          <w:szCs w:val="28"/>
          <w:lang w:eastAsia="zh-CN"/>
        </w:rPr>
        <w:t>建议尽快制定相关补发政策，将2019年以后签订协议群众自2019年至今的流转费尽快补发完。关于目前仍未签订流转协议的51户村民，</w:t>
      </w:r>
      <w:r>
        <w:rPr>
          <w:rFonts w:hint="eastAsia" w:ascii="仿宋" w:hAnsi="仿宋" w:eastAsia="仿宋"/>
          <w:sz w:val="28"/>
          <w:szCs w:val="28"/>
          <w:lang w:val="en-US" w:eastAsia="zh-CN"/>
        </w:rPr>
        <w:t>各村</w:t>
      </w:r>
      <w:r>
        <w:rPr>
          <w:rFonts w:hint="eastAsia" w:ascii="仿宋" w:hAnsi="仿宋" w:eastAsia="仿宋"/>
          <w:sz w:val="28"/>
          <w:szCs w:val="28"/>
          <w:lang w:eastAsia="zh-CN"/>
        </w:rPr>
        <w:t>相关工作人员应尽快做好相关工作，完成流转责任地协议的签订。</w:t>
      </w:r>
    </w:p>
    <w:p>
      <w:pPr>
        <w:widowControl w:val="0"/>
        <w:spacing w:line="240" w:lineRule="auto"/>
        <w:jc w:val="both"/>
        <w:rPr>
          <w:rFonts w:ascii="仿宋" w:hAnsi="仿宋" w:eastAsia="仿宋" w:cs="仿宋"/>
          <w:sz w:val="28"/>
          <w:szCs w:val="28"/>
          <w:lang w:eastAsia="zh-CN"/>
        </w:rPr>
      </w:pPr>
    </w:p>
    <w:p>
      <w:pPr>
        <w:widowControl w:val="0"/>
        <w:spacing w:line="240" w:lineRule="auto"/>
        <w:jc w:val="both"/>
        <w:rPr>
          <w:rFonts w:ascii="仿宋" w:hAnsi="仿宋" w:eastAsia="仿宋" w:cs="仿宋"/>
          <w:sz w:val="28"/>
          <w:szCs w:val="28"/>
          <w:lang w:eastAsia="zh-CN"/>
        </w:rPr>
      </w:pPr>
    </w:p>
    <w:p>
      <w:pPr>
        <w:widowControl w:val="0"/>
        <w:spacing w:line="240" w:lineRule="auto"/>
        <w:jc w:val="center"/>
        <w:rPr>
          <w:rFonts w:ascii="仿宋" w:hAnsi="仿宋" w:eastAsia="仿宋" w:cs="仿宋"/>
          <w:sz w:val="28"/>
          <w:szCs w:val="28"/>
          <w:lang w:eastAsia="zh-CN"/>
        </w:rPr>
      </w:pPr>
      <w:r>
        <w:rPr>
          <w:rFonts w:hint="eastAsia" w:ascii="仿宋" w:hAnsi="仿宋" w:eastAsia="仿宋" w:cs="仿宋"/>
          <w:sz w:val="28"/>
          <w:szCs w:val="28"/>
          <w:lang w:eastAsia="zh-CN"/>
        </w:rPr>
        <w:t>主评人（高级会计师）：</w:t>
      </w:r>
    </w:p>
    <w:p>
      <w:pPr>
        <w:widowControl w:val="0"/>
        <w:spacing w:line="240" w:lineRule="auto"/>
        <w:jc w:val="center"/>
        <w:rPr>
          <w:rFonts w:ascii="仿宋" w:hAnsi="仿宋" w:eastAsia="仿宋" w:cs="仿宋"/>
          <w:sz w:val="28"/>
          <w:szCs w:val="28"/>
          <w:lang w:eastAsia="zh-CN"/>
        </w:rPr>
      </w:pPr>
      <w:r>
        <w:rPr>
          <w:rFonts w:hint="eastAsia" w:ascii="仿宋" w:hAnsi="仿宋" w:eastAsia="仿宋" w:cs="仿宋"/>
          <w:sz w:val="28"/>
          <w:szCs w:val="28"/>
          <w:lang w:eastAsia="zh-CN"/>
        </w:rPr>
        <w:t>宁夏沪尚智评管理咨询有限公司</w:t>
      </w:r>
    </w:p>
    <w:p>
      <w:pPr>
        <w:pStyle w:val="10"/>
        <w:ind w:left="440" w:firstLine="2800" w:firstLineChars="1000"/>
        <w:jc w:val="both"/>
        <w:rPr>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202</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2月</w:t>
      </w:r>
      <w:r>
        <w:rPr>
          <w:rFonts w:hint="eastAsia" w:ascii="仿宋" w:hAnsi="仿宋" w:cs="仿宋"/>
          <w:sz w:val="28"/>
          <w:szCs w:val="28"/>
          <w:lang w:val="en-US" w:eastAsia="zh-CN"/>
        </w:rPr>
        <w:t>30</w:t>
      </w:r>
      <w:r>
        <w:rPr>
          <w:rFonts w:hint="eastAsia" w:ascii="仿宋" w:hAnsi="仿宋" w:eastAsia="仿宋" w:cs="仿宋"/>
          <w:sz w:val="28"/>
          <w:szCs w:val="28"/>
          <w:lang w:eastAsia="zh-CN"/>
        </w:rPr>
        <w:t>日</w:t>
      </w:r>
    </w:p>
    <w:p>
      <w:pPr>
        <w:pStyle w:val="3"/>
        <w:keepNext w:val="0"/>
        <w:keepLines w:val="0"/>
        <w:widowControl w:val="0"/>
        <w:spacing w:after="0" w:line="360" w:lineRule="auto"/>
        <w:jc w:val="both"/>
        <w:rPr>
          <w:rFonts w:eastAsia="黑体"/>
          <w:b w:val="0"/>
          <w:bCs w:val="0"/>
          <w:sz w:val="30"/>
          <w:lang w:eastAsia="zh-CN"/>
        </w:rPr>
      </w:pPr>
      <w:bookmarkStart w:id="147" w:name="_Toc22137"/>
      <w:r>
        <w:rPr>
          <w:rFonts w:hint="eastAsia" w:eastAsia="黑体"/>
          <w:b w:val="0"/>
          <w:bCs w:val="0"/>
          <w:sz w:val="30"/>
          <w:lang w:eastAsia="zh-CN"/>
        </w:rPr>
        <w:t>六、附件</w:t>
      </w:r>
      <w:bookmarkEnd w:id="147"/>
      <w:bookmarkStart w:id="148" w:name="_Toc1803"/>
      <w:r>
        <w:rPr>
          <w:rFonts w:hint="eastAsia" w:eastAsia="黑体"/>
          <w:b w:val="0"/>
          <w:bCs w:val="0"/>
          <w:sz w:val="30"/>
          <w:lang w:eastAsia="zh-CN"/>
        </w:rPr>
        <w:tab/>
      </w:r>
    </w:p>
    <w:p>
      <w:pPr>
        <w:pStyle w:val="4"/>
        <w:widowControl w:val="0"/>
        <w:spacing w:line="360" w:lineRule="auto"/>
        <w:ind w:firstLine="562"/>
        <w:jc w:val="both"/>
        <w:rPr>
          <w:rFonts w:ascii="仿宋" w:hAnsi="仿宋" w:eastAsia="仿宋" w:cs="仿宋"/>
          <w:sz w:val="28"/>
          <w:szCs w:val="28"/>
          <w:lang w:eastAsia="zh-CN"/>
        </w:rPr>
      </w:pPr>
      <w:bookmarkStart w:id="149" w:name="_Toc19562"/>
      <w:bookmarkStart w:id="150" w:name="_Toc2047"/>
      <w:bookmarkStart w:id="151" w:name="_Toc119851508"/>
      <w:bookmarkStart w:id="152" w:name="_Toc24126"/>
      <w:r>
        <w:rPr>
          <w:rFonts w:hint="eastAsia" w:ascii="仿宋" w:hAnsi="仿宋" w:eastAsia="仿宋" w:cs="仿宋"/>
          <w:sz w:val="28"/>
          <w:szCs w:val="28"/>
          <w:lang w:eastAsia="zh-CN"/>
        </w:rPr>
        <w:t>附件1：项目绩效评价指标评分表</w:t>
      </w:r>
      <w:bookmarkEnd w:id="149"/>
      <w:bookmarkEnd w:id="150"/>
      <w:bookmarkEnd w:id="151"/>
      <w:bookmarkEnd w:id="152"/>
    </w:p>
    <w:bookmarkEnd w:id="148"/>
    <w:p>
      <w:pPr>
        <w:widowControl w:val="0"/>
        <w:tabs>
          <w:tab w:val="center" w:pos="7199"/>
          <w:tab w:val="left" w:pos="11700"/>
        </w:tabs>
        <w:spacing w:after="0" w:line="360" w:lineRule="auto"/>
        <w:ind w:firstLine="442"/>
        <w:jc w:val="center"/>
        <w:rPr>
          <w:rFonts w:ascii="等线" w:hAnsi="等线" w:eastAsia="等线" w:cs="等线"/>
          <w:b/>
          <w:bCs/>
          <w:color w:val="000000"/>
          <w:lang w:eastAsia="zh-CN"/>
        </w:rPr>
      </w:pPr>
      <w:r>
        <w:rPr>
          <w:rFonts w:hint="eastAsia" w:ascii="等线" w:hAnsi="等线" w:eastAsia="等线" w:cs="等线"/>
          <w:b/>
          <w:bCs/>
          <w:color w:val="000000"/>
          <w:lang w:eastAsia="zh-CN"/>
        </w:rPr>
        <w:t>兴庆区黄河银川段两岸沙滩地收回整治生态修复项目评分表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79"/>
        <w:gridCol w:w="1325"/>
        <w:gridCol w:w="625"/>
        <w:gridCol w:w="1150"/>
        <w:gridCol w:w="1075"/>
        <w:gridCol w:w="3963"/>
        <w:gridCol w:w="4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9" w:type="pct"/>
            <w:tcBorders>
              <w:top w:val="single" w:color="auto" w:sz="12"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一级指标</w:t>
            </w:r>
          </w:p>
        </w:tc>
        <w:tc>
          <w:tcPr>
            <w:tcW w:w="415"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二级指标</w:t>
            </w:r>
          </w:p>
        </w:tc>
        <w:tc>
          <w:tcPr>
            <w:tcW w:w="467"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三级指标</w:t>
            </w:r>
          </w:p>
        </w:tc>
        <w:tc>
          <w:tcPr>
            <w:tcW w:w="220"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权重</w:t>
            </w:r>
          </w:p>
        </w:tc>
        <w:tc>
          <w:tcPr>
            <w:tcW w:w="405"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lang w:eastAsia="zh-CN"/>
              </w:rPr>
              <w:t>实际</w:t>
            </w:r>
            <w:r>
              <w:rPr>
                <w:rFonts w:hint="eastAsia" w:ascii="等线" w:hAnsi="等线" w:eastAsia="等线" w:cs="等线"/>
                <w:b/>
                <w:bCs/>
                <w:color w:val="000000"/>
              </w:rPr>
              <w:t>值</w:t>
            </w:r>
          </w:p>
        </w:tc>
        <w:tc>
          <w:tcPr>
            <w:tcW w:w="379"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得分</w:t>
            </w:r>
          </w:p>
        </w:tc>
        <w:tc>
          <w:tcPr>
            <w:tcW w:w="1397" w:type="pct"/>
            <w:tcBorders>
              <w:top w:val="single" w:color="auto" w:sz="12"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指标解释</w:t>
            </w:r>
          </w:p>
        </w:tc>
        <w:tc>
          <w:tcPr>
            <w:tcW w:w="1454" w:type="pct"/>
            <w:tcBorders>
              <w:top w:val="single" w:color="auto" w:sz="12"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9" w:type="pct"/>
            <w:vMerge w:val="restart"/>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项目决策（15分）</w:t>
            </w:r>
          </w:p>
        </w:tc>
        <w:tc>
          <w:tcPr>
            <w:tcW w:w="4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项目立项（5分）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立项依据充分性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3%</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充分</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3.00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项目立项是否符合法律法规、相关政策、发展规划以及部门职责，用以反映和考核项目立项依据情况。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项目符合经济社会发展规划和部门年度工作计划（2分）；根据需要制中长期实施规划（1分）。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立项程序规范性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2%</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规范</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2.00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项目申请、设立过程是否符合相关要求，用以反映和考核项目立项的规范情况。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项目符合申报条件（1分）；申报、批复程序符合相关管理办法（0.5分）；项目实施调整履行相应手续（0.5分）。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绩效目标（6分）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绩效目标合理性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3%</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合理</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3.00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项目所设定的绩效目标是否依据充分，是否符合客观实际，用以反映和考核项目绩效目标与项目实施的相符情况。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依据充分（1分）；符合实际（1分）；与预算资金量相匹配（1分）；符合所有条件得满分，每不符合一项扣权重的1/3，扣完为止。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绩效指标明确性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3%</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highlight w:val="none"/>
              </w:rPr>
            </w:pPr>
            <w:r>
              <w:rPr>
                <w:rFonts w:hint="eastAsia" w:ascii="等线" w:hAnsi="等线" w:eastAsia="等线" w:cs="等线"/>
                <w:color w:val="000000"/>
                <w:highlight w:val="none"/>
                <w:lang w:val="en-US" w:eastAsia="zh-CN"/>
              </w:rPr>
              <w:t>不</w:t>
            </w:r>
            <w:r>
              <w:rPr>
                <w:rFonts w:hint="eastAsia" w:ascii="等线" w:hAnsi="等线" w:eastAsia="等线" w:cs="等线"/>
                <w:color w:val="000000"/>
                <w:highlight w:val="none"/>
              </w:rPr>
              <w:t>明确</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highlight w:val="none"/>
              </w:rPr>
            </w:pPr>
            <w:r>
              <w:rPr>
                <w:rFonts w:hint="eastAsia" w:ascii="等线" w:hAnsi="等线" w:eastAsia="等线" w:cs="等线"/>
                <w:color w:val="000000"/>
                <w:highlight w:val="none"/>
                <w:lang w:eastAsia="zh-CN"/>
              </w:rPr>
              <w:t>0.</w:t>
            </w:r>
            <w:r>
              <w:rPr>
                <w:rFonts w:hint="eastAsia" w:ascii="等线" w:hAnsi="等线" w:eastAsia="等线" w:cs="等线"/>
                <w:color w:val="000000"/>
                <w:highlight w:val="none"/>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依据绩效目标设定的绩效指标是否清晰、细化、可衡量等，用以反映和考核项目绩效目标的明细化情况。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总体指标和年度指标明确（1分）；指标细化、量化（1分）；指标可衡量（1分）；全部为定性指标的不得分；能够量化而不量化的，每发现1处扣1分，直至指标分值扣完为止。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资金投入（4分）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预算编制科学性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2%</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科学</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2</w:t>
            </w:r>
            <w:r>
              <w:rPr>
                <w:rFonts w:hint="eastAsia" w:ascii="等线" w:hAnsi="等线" w:eastAsia="等线" w:cs="等线"/>
                <w:color w:val="000000"/>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项目预算编制是否经过科学论证、有明确标准，资金额度与年度目标是否相适应，用以反映和考核项目预算编制的科学性、合理性情况。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预算编制科学合理，预算内容与项目内容相匹配（1分）；依据充分，资金量与工作任务相匹配（1分）；符合所有条件得满分，每不符合一项，扣权重的1/2，扣完为止。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资金分配合理性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2%</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合理</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2</w:t>
            </w:r>
            <w:r>
              <w:rPr>
                <w:rFonts w:hint="eastAsia" w:ascii="等线" w:hAnsi="等线" w:eastAsia="等线" w:cs="等线"/>
                <w:color w:val="000000"/>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项目预算资金分配是否有测算依据，与补助单位或地方实际是否相适应，用以反映和考核项目预算资金分配的科学性、合理性情况。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资金分配依据充分（1分）；资金分配额度合理（1分）；符合所有条件得满分，每不符合一项，扣权重的1/2，扣完为止。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59" w:type="pct"/>
            <w:vMerge w:val="restart"/>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项目管理（25分）</w:t>
            </w:r>
          </w:p>
        </w:tc>
        <w:tc>
          <w:tcPr>
            <w:tcW w:w="4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资金管理（13分）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资金到位率</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hint="default" w:ascii="等线" w:hAnsi="等线" w:eastAsia="等线" w:cs="等线"/>
                <w:color w:val="000000"/>
                <w:highlight w:val="none"/>
                <w:lang w:val="en-US" w:eastAsia="zh-CN"/>
              </w:rPr>
            </w:pPr>
            <w:r>
              <w:rPr>
                <w:rFonts w:hint="eastAsia" w:ascii="等线" w:hAnsi="等线" w:eastAsia="等线" w:cs="等线"/>
                <w:color w:val="000000"/>
                <w:highlight w:val="none"/>
                <w:lang w:val="en-US" w:eastAsia="zh-CN"/>
              </w:rPr>
              <w:t>0%</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highlight w:val="none"/>
              </w:rPr>
            </w:pPr>
            <w:r>
              <w:rPr>
                <w:rFonts w:hint="eastAsia" w:ascii="等线" w:hAnsi="等线" w:eastAsia="等线" w:cs="等线"/>
                <w:color w:val="000000"/>
                <w:highlight w:val="none"/>
                <w:lang w:eastAsia="zh-CN"/>
              </w:rPr>
              <w:t>0</w:t>
            </w:r>
            <w:r>
              <w:rPr>
                <w:rFonts w:hint="eastAsia" w:ascii="等线" w:hAnsi="等线" w:eastAsia="等线" w:cs="等线"/>
                <w:color w:val="000000"/>
                <w:highlight w:val="none"/>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实际到位资金与预算资金的比率，用以反映和考核资金落实情况对项目实施的总体保障程度。</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资金到位率=（实际到位资金/预算资金）×100%。得分=资金到位率*权重。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预算执行率</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highlight w:val="none"/>
              </w:rPr>
            </w:pPr>
            <w:r>
              <w:rPr>
                <w:rFonts w:hint="eastAsia" w:ascii="仿宋" w:hAnsi="仿宋" w:eastAsia="仿宋" w:cs="仿宋"/>
                <w:highlight w:val="none"/>
                <w:lang w:val="en-US" w:eastAsia="zh-CN"/>
              </w:rPr>
              <w:t>0</w:t>
            </w:r>
            <w:r>
              <w:rPr>
                <w:rFonts w:hint="eastAsia" w:ascii="仿宋" w:hAnsi="仿宋" w:eastAsia="仿宋" w:cs="仿宋"/>
                <w:highlight w:val="none"/>
              </w:rPr>
              <w:t>%</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highlight w:val="none"/>
                <w:lang w:eastAsia="zh-CN"/>
              </w:rPr>
            </w:pPr>
            <w:r>
              <w:rPr>
                <w:rFonts w:hint="eastAsia" w:ascii="等线" w:hAnsi="等线" w:eastAsia="等线" w:cs="等线"/>
                <w:color w:val="000000"/>
                <w:highlight w:val="none"/>
                <w:lang w:eastAsia="zh-CN"/>
              </w:rPr>
              <w:t>0.00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项目预算资金是否按照计划执行，用以反映或考核项目预算执行情况。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预算执行率=（实际支出资金/实际到位资金）×100%。得分=预算执行率*权重。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资金使用合规性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5%</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合规</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5.00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是否存在支出依据不合规、虚列项目支出的情况；是否存在截留、挤占、挪用项目资金情况；是否存在超标准开支情况。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符合国家财经法规、制度及管理办法（2分）；资金拨付有完整的审批程序和手续（2分）；符合项目预算批复的用途（1分），无截留、挤占、挪用、虚列开支等情况（2分）。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组织实施</w:t>
            </w:r>
          </w:p>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（12分）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管理制度健全性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健全</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4.00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项目实施单位的财务和业务管理制度是否健全，用以反映和考核财务和业务管理制度对项目顺利实施的保障情况。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制定相应的财务和业务管理制度（2分）；财务和业务管理制度是否合法、合规、完整（2分）。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9" w:type="pct"/>
            <w:vMerge w:val="continue"/>
            <w:tcBorders>
              <w:top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制度执行有效性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8%</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有效</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8</w:t>
            </w:r>
            <w:r>
              <w:rPr>
                <w:rFonts w:hint="eastAsia" w:ascii="等线" w:hAnsi="等线" w:eastAsia="等线" w:cs="等线"/>
                <w:color w:val="000000"/>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是否建立健全项目管理制度；是否严格执行相关项目管理制度。</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遵守相关法律法规和相关管理规定（2分）；项目调整及支出调整手续是否完备（2分）；项目招投标书，合同书、验收报告等资料是否齐全并及时归档（2分）；项目实施的人员条件、场地设备等是否落实到位（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59" w:type="pct"/>
            <w:vMerge w:val="restart"/>
            <w:tcBorders>
              <w:top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p>
            <w:pPr>
              <w:widowControl w:val="0"/>
              <w:spacing w:after="0" w:line="240" w:lineRule="auto"/>
              <w:jc w:val="center"/>
              <w:rPr>
                <w:rFonts w:ascii="等线" w:hAnsi="等线" w:eastAsia="等线" w:cs="等线"/>
                <w:color w:val="000000"/>
                <w:lang w:eastAsia="zh-CN"/>
              </w:rPr>
            </w:pPr>
          </w:p>
          <w:p>
            <w:pPr>
              <w:widowControl w:val="0"/>
              <w:spacing w:after="0" w:line="240" w:lineRule="auto"/>
              <w:jc w:val="center"/>
              <w:rPr>
                <w:rFonts w:ascii="等线" w:hAnsi="等线" w:eastAsia="等线" w:cs="等线"/>
                <w:color w:val="000000"/>
                <w:lang w:eastAsia="zh-CN"/>
              </w:rPr>
            </w:pPr>
          </w:p>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项目产出（32分）</w:t>
            </w:r>
          </w:p>
        </w:tc>
        <w:tc>
          <w:tcPr>
            <w:tcW w:w="415" w:type="pct"/>
            <w:vMerge w:val="restart"/>
            <w:tcBorders>
              <w:top w:val="single" w:color="auto" w:sz="4" w:space="0"/>
              <w:left w:val="single" w:color="auto" w:sz="4" w:space="0"/>
              <w:right w:val="single" w:color="auto" w:sz="4" w:space="0"/>
            </w:tcBorders>
            <w:noWrap/>
            <w:vAlign w:val="center"/>
          </w:tcPr>
          <w:p>
            <w:pPr>
              <w:widowControl w:val="0"/>
              <w:spacing w:after="0" w:line="240" w:lineRule="auto"/>
              <w:jc w:val="both"/>
              <w:rPr>
                <w:rFonts w:ascii="等线" w:hAnsi="等线" w:eastAsia="等线" w:cs="等线"/>
                <w:color w:val="000000"/>
              </w:rPr>
            </w:pPr>
            <w:r>
              <w:rPr>
                <w:rFonts w:hint="eastAsia" w:ascii="等线" w:hAnsi="等线" w:eastAsia="等线" w:cs="等线"/>
                <w:color w:val="000000"/>
              </w:rPr>
              <w:t>产出数量（</w:t>
            </w:r>
            <w:r>
              <w:rPr>
                <w:rFonts w:hint="eastAsia" w:ascii="等线" w:hAnsi="等线" w:eastAsia="等线" w:cs="等线"/>
                <w:color w:val="000000"/>
                <w:lang w:eastAsia="zh-CN"/>
              </w:rPr>
              <w:t>8</w:t>
            </w:r>
            <w:r>
              <w:rPr>
                <w:rFonts w:hint="eastAsia" w:ascii="等线" w:hAnsi="等线" w:eastAsia="等线" w:cs="等线"/>
                <w:color w:val="000000"/>
              </w:rPr>
              <w:t>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兑付户数</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393户</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3.54</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考察项目兑付户数情况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指标值444户得满分，未达到指标值，完成率=实际完成数/计划数*100%。得分=完成率*权重分。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rPr>
            </w:pPr>
          </w:p>
        </w:tc>
        <w:tc>
          <w:tcPr>
            <w:tcW w:w="415" w:type="pct"/>
            <w:vMerge w:val="continue"/>
            <w:tcBorders>
              <w:left w:val="single" w:color="auto" w:sz="4" w:space="0"/>
              <w:right w:val="single" w:color="auto" w:sz="4" w:space="0"/>
            </w:tcBorders>
            <w:noWrap/>
            <w:vAlign w:val="center"/>
          </w:tcPr>
          <w:p>
            <w:pPr>
              <w:widowControl w:val="0"/>
              <w:spacing w:after="0" w:line="240" w:lineRule="auto"/>
              <w:jc w:val="both"/>
              <w:rPr>
                <w:rFonts w:ascii="等线" w:hAnsi="等线" w:eastAsia="等线" w:cs="等线"/>
                <w:color w:val="000000"/>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收回流转责任地</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2984.8亩</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2.95</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考察项目收回流转责任地亩数</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指标值4043.65亩得满分，未达到指标值，完成率=实际完成数/计划数*100%。得分=完成率*权重分。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rPr>
            </w:pPr>
          </w:p>
        </w:tc>
        <w:tc>
          <w:tcPr>
            <w:tcW w:w="415" w:type="pct"/>
            <w:tcBorders>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产出质量（</w:t>
            </w:r>
            <w:r>
              <w:rPr>
                <w:rFonts w:hint="eastAsia" w:ascii="等线" w:hAnsi="等线" w:eastAsia="等线" w:cs="等线"/>
                <w:color w:val="000000"/>
                <w:lang w:eastAsia="zh-CN"/>
              </w:rPr>
              <w:t>8</w:t>
            </w:r>
            <w:r>
              <w:rPr>
                <w:rFonts w:hint="eastAsia" w:ascii="等线" w:hAnsi="等线" w:eastAsia="等线" w:cs="等线"/>
                <w:color w:val="000000"/>
              </w:rPr>
              <w:t>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lang w:eastAsia="zh-CN"/>
              </w:rPr>
            </w:pPr>
            <w:r>
              <w:rPr>
                <w:rFonts w:hint="eastAsia" w:ascii="等线" w:hAnsi="等线" w:eastAsia="等线" w:cs="等线"/>
                <w:color w:val="000000"/>
                <w:lang w:eastAsia="zh-CN"/>
              </w:rPr>
              <w:t>土地收回并达到生态修复条件</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8%</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lang w:eastAsia="zh-CN"/>
              </w:rPr>
            </w:pPr>
            <w:r>
              <w:rPr>
                <w:rFonts w:hint="eastAsia" w:ascii="等线" w:hAnsi="等线" w:eastAsia="等线" w:cs="等线"/>
                <w:color w:val="000000"/>
                <w:lang w:eastAsia="zh-CN"/>
              </w:rPr>
              <w:t>合格</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8.00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w:t>
            </w:r>
            <w:r>
              <w:rPr>
                <w:rFonts w:hint="eastAsia" w:ascii="等线" w:hAnsi="等线" w:eastAsia="等线" w:cs="等线"/>
                <w:lang w:eastAsia="zh-CN"/>
              </w:rPr>
              <w:t>项目</w:t>
            </w:r>
            <w:r>
              <w:rPr>
                <w:rFonts w:hint="eastAsia" w:ascii="等线" w:hAnsi="等线" w:eastAsia="等线" w:cs="等线"/>
                <w:color w:val="000000"/>
                <w:lang w:eastAsia="zh-CN"/>
              </w:rPr>
              <w:t>土地收回并达到生态修复条件情况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土地收回并达到生态修复条件得满分；</w:t>
            </w: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土地收未完全回或未达到生态修复条件不得分。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tcBorders>
              <w:top w:val="single" w:color="auto" w:sz="4" w:space="0"/>
              <w:left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产出时效</w:t>
            </w:r>
          </w:p>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（6分）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流转费兑付及时性</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6%</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不及时</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0</w:t>
            </w:r>
            <w:r>
              <w:rPr>
                <w:rFonts w:hint="eastAsia" w:ascii="等线" w:hAnsi="等线" w:eastAsia="等线" w:cs="等线"/>
                <w:color w:val="000000"/>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考察项目流转费兑付及时性的情况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流转费在2022年兑付完得满分，流转费未在2022年兑付完不得分。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restar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产出成本（10分）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项目成本控制</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highlight w:val="red"/>
                <w:lang w:eastAsia="zh-CN"/>
              </w:rPr>
            </w:pPr>
            <w:r>
              <w:rPr>
                <w:rFonts w:hint="eastAsia" w:ascii="等线" w:hAnsi="等线" w:eastAsia="等线" w:cs="等线"/>
                <w:color w:val="000000"/>
                <w:lang w:eastAsia="zh-CN"/>
              </w:rPr>
              <w:t>≤242.619万元</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6.00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考察项目成本控制的情况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项目成本单价控制在批复概算单价内得满分，未控制在批复概算单价内不得分。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59" w:type="pct"/>
            <w:vMerge w:val="continue"/>
            <w:tcBorders>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补助标准</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600元/亩</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考察项目补助标准的情况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指标值4043.65亩得满分，未达到指标值，完成率=实际完成数/计划数*100%。得分=完成率*权重分。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59" w:type="pct"/>
            <w:vMerge w:val="restart"/>
            <w:tcBorders>
              <w:top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项目效益（28分）</w:t>
            </w:r>
          </w:p>
        </w:tc>
        <w:tc>
          <w:tcPr>
            <w:tcW w:w="415" w:type="pc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社会效益（</w:t>
            </w:r>
            <w:r>
              <w:rPr>
                <w:rFonts w:hint="eastAsia" w:ascii="等线" w:hAnsi="等线" w:eastAsia="等线" w:cs="等线"/>
                <w:color w:val="000000"/>
                <w:lang w:eastAsia="zh-CN"/>
              </w:rPr>
              <w:t>4</w:t>
            </w:r>
            <w:r>
              <w:rPr>
                <w:rFonts w:hint="eastAsia" w:ascii="等线" w:hAnsi="等线" w:eastAsia="等线" w:cs="等线"/>
                <w:color w:val="000000"/>
              </w:rPr>
              <w:t>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带动周边旅游业发展</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部分提升</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2</w:t>
            </w:r>
            <w:r>
              <w:rPr>
                <w:rFonts w:hint="eastAsia" w:ascii="等线" w:hAnsi="等线" w:eastAsia="等线" w:cs="等线"/>
                <w:color w:val="000000"/>
              </w:rPr>
              <w:t>.00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考察项目带动周边旅游业发展</w:t>
            </w:r>
            <w:r>
              <w:rPr>
                <w:rFonts w:hint="eastAsia" w:ascii="等线" w:hAnsi="等线" w:eastAsia="等线" w:cs="等线"/>
                <w:lang w:eastAsia="zh-CN"/>
              </w:rPr>
              <w:t>的</w:t>
            </w:r>
            <w:r>
              <w:rPr>
                <w:rFonts w:hint="eastAsia" w:ascii="等线" w:hAnsi="等线" w:eastAsia="等线" w:cs="等线"/>
                <w:color w:val="000000"/>
                <w:lang w:eastAsia="zh-CN"/>
              </w:rPr>
              <w:t>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有效带动周边旅游业发展</w:t>
            </w:r>
            <w:r>
              <w:rPr>
                <w:rFonts w:hint="eastAsia" w:ascii="等线" w:hAnsi="等线" w:eastAsia="等线" w:cs="等线"/>
                <w:lang w:eastAsia="zh-CN"/>
              </w:rPr>
              <w:t>得</w:t>
            </w:r>
            <w:r>
              <w:rPr>
                <w:rFonts w:hint="eastAsia" w:ascii="等线" w:hAnsi="等线" w:eastAsia="等线" w:cs="等线"/>
                <w:color w:val="000000"/>
                <w:lang w:eastAsia="zh-CN"/>
              </w:rPr>
              <w:t>满分；部分</w:t>
            </w:r>
            <w:r>
              <w:rPr>
                <w:rFonts w:hint="eastAsia" w:ascii="等线" w:hAnsi="等线" w:eastAsia="等线" w:cs="等线"/>
                <w:lang w:eastAsia="zh-CN"/>
              </w:rPr>
              <w:t>带动</w:t>
            </w:r>
            <w:r>
              <w:rPr>
                <w:rFonts w:hint="eastAsia" w:ascii="等线" w:hAnsi="等线" w:eastAsia="等线" w:cs="等线"/>
                <w:color w:val="000000"/>
                <w:lang w:eastAsia="zh-CN"/>
              </w:rPr>
              <w:t>得2分；没有</w:t>
            </w:r>
            <w:r>
              <w:rPr>
                <w:rFonts w:hint="eastAsia" w:ascii="等线" w:hAnsi="等线" w:eastAsia="等线" w:cs="等线"/>
                <w:lang w:eastAsia="zh-CN"/>
              </w:rPr>
              <w:t>带动</w:t>
            </w:r>
            <w:r>
              <w:rPr>
                <w:rFonts w:hint="eastAsia" w:ascii="等线" w:hAnsi="等线" w:eastAsia="等线" w:cs="等线"/>
                <w:color w:val="000000"/>
                <w:lang w:eastAsia="zh-CN"/>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restar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生态效益</w:t>
            </w:r>
          </w:p>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（10分）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净化水质</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5.00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考察项净化水质</w:t>
            </w:r>
            <w:r>
              <w:rPr>
                <w:rFonts w:hint="eastAsia" w:ascii="等线" w:hAnsi="等线" w:eastAsia="等线" w:cs="等线"/>
                <w:lang w:eastAsia="zh-CN"/>
              </w:rPr>
              <w:t>的</w:t>
            </w:r>
            <w:r>
              <w:rPr>
                <w:rFonts w:hint="eastAsia" w:ascii="等线" w:hAnsi="等线" w:eastAsia="等线" w:cs="等线"/>
                <w:color w:val="000000"/>
                <w:lang w:eastAsia="zh-CN"/>
              </w:rPr>
              <w:t>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有效改善水质得满分；部分改善得3分；没有有效改善不得分。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vMerge w:val="continue"/>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减少区域水土流失</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5%</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lang w:eastAsia="zh-CN"/>
              </w:rPr>
            </w:pPr>
            <w:r>
              <w:rPr>
                <w:rFonts w:hint="eastAsia" w:ascii="等线" w:hAnsi="等线" w:eastAsia="等线" w:cs="等线"/>
                <w:color w:val="000000"/>
                <w:lang w:eastAsia="zh-CN"/>
              </w:rPr>
              <w:t>有效减少</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5.00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考察减少区域水土流失</w:t>
            </w:r>
            <w:r>
              <w:rPr>
                <w:rFonts w:hint="eastAsia" w:ascii="等线" w:hAnsi="等线" w:eastAsia="等线" w:cs="等线"/>
                <w:lang w:eastAsia="zh-CN"/>
              </w:rPr>
              <w:t>的</w:t>
            </w:r>
            <w:r>
              <w:rPr>
                <w:rFonts w:hint="eastAsia" w:ascii="等线" w:hAnsi="等线" w:eastAsia="等线" w:cs="等线"/>
                <w:color w:val="000000"/>
                <w:lang w:eastAsia="zh-CN"/>
              </w:rPr>
              <w:t>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有效减少区域水土流失得满分；部分减少得3分；没有减少不得分。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可持续影响（</w:t>
            </w:r>
            <w:r>
              <w:rPr>
                <w:rFonts w:hint="eastAsia" w:ascii="等线" w:hAnsi="等线" w:eastAsia="等线" w:cs="等线"/>
                <w:color w:val="000000"/>
                <w:lang w:eastAsia="zh-CN"/>
              </w:rPr>
              <w:t>4</w:t>
            </w:r>
            <w:r>
              <w:rPr>
                <w:rFonts w:hint="eastAsia" w:ascii="等线" w:hAnsi="等线" w:eastAsia="等线" w:cs="等线"/>
                <w:color w:val="000000"/>
              </w:rPr>
              <w:t>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河滩地修复</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有效修复</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4.00</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考察河滩地修复</w:t>
            </w:r>
            <w:r>
              <w:rPr>
                <w:rFonts w:hint="eastAsia" w:ascii="等线" w:hAnsi="等线" w:eastAsia="等线" w:cs="等线"/>
                <w:lang w:eastAsia="zh-CN"/>
              </w:rPr>
              <w:t>的</w:t>
            </w:r>
            <w:r>
              <w:rPr>
                <w:rFonts w:hint="eastAsia" w:ascii="等线" w:hAnsi="等线" w:eastAsia="等线" w:cs="等线"/>
                <w:color w:val="000000"/>
                <w:lang w:eastAsia="zh-CN"/>
              </w:rPr>
              <w:t>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有效修复得满分；部分修复得3分；没有修复不得分。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59" w:type="pct"/>
            <w:vMerge w:val="continue"/>
            <w:tcBorders>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p>
        </w:tc>
        <w:tc>
          <w:tcPr>
            <w:tcW w:w="415" w:type="pct"/>
            <w:tcBorders>
              <w:top w:val="single" w:color="auto" w:sz="4" w:space="0"/>
              <w:left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满意度</w:t>
            </w:r>
          </w:p>
          <w:p>
            <w:pPr>
              <w:widowControl w:val="0"/>
              <w:spacing w:after="0" w:line="240" w:lineRule="auto"/>
              <w:jc w:val="center"/>
              <w:rPr>
                <w:rFonts w:ascii="等线" w:hAnsi="等线" w:eastAsia="等线" w:cs="等线"/>
                <w:color w:val="000000"/>
              </w:rPr>
            </w:pPr>
            <w:r>
              <w:rPr>
                <w:rFonts w:hint="eastAsia" w:ascii="等线" w:hAnsi="等线" w:eastAsia="等线" w:cs="等线"/>
                <w:color w:val="000000"/>
              </w:rPr>
              <w:t>（</w:t>
            </w:r>
            <w:r>
              <w:rPr>
                <w:rFonts w:hint="eastAsia" w:ascii="等线" w:hAnsi="等线" w:eastAsia="等线" w:cs="等线"/>
                <w:color w:val="000000"/>
                <w:lang w:eastAsia="zh-CN"/>
              </w:rPr>
              <w:t>10</w:t>
            </w:r>
            <w:r>
              <w:rPr>
                <w:rFonts w:hint="eastAsia" w:ascii="等线" w:hAnsi="等线" w:eastAsia="等线" w:cs="等线"/>
                <w:color w:val="000000"/>
              </w:rPr>
              <w:t>分）</w:t>
            </w:r>
          </w:p>
        </w:tc>
        <w:tc>
          <w:tcPr>
            <w:tcW w:w="46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受益村民满意度</w:t>
            </w:r>
          </w:p>
        </w:tc>
        <w:tc>
          <w:tcPr>
            <w:tcW w:w="220"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rPr>
            </w:pPr>
            <w:r>
              <w:rPr>
                <w:rFonts w:hint="eastAsia" w:ascii="等线" w:hAnsi="等线" w:eastAsia="等线" w:cs="等线"/>
                <w:color w:val="000000"/>
                <w:lang w:eastAsia="zh-CN"/>
              </w:rPr>
              <w:t>10</w:t>
            </w:r>
            <w:r>
              <w:rPr>
                <w:rFonts w:hint="eastAsia" w:ascii="等线" w:hAnsi="等线" w:eastAsia="等线" w:cs="等线"/>
                <w:color w:val="000000"/>
              </w:rPr>
              <w:t>%</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75.1%</w:t>
            </w: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360" w:lineRule="auto"/>
              <w:jc w:val="center"/>
              <w:rPr>
                <w:rFonts w:ascii="等线" w:hAnsi="等线" w:eastAsia="等线" w:cs="等线"/>
                <w:color w:val="000000"/>
              </w:rPr>
            </w:pPr>
            <w:r>
              <w:rPr>
                <w:rFonts w:hint="eastAsia" w:ascii="等线" w:hAnsi="等线" w:eastAsia="等线" w:cs="等线"/>
                <w:color w:val="000000"/>
                <w:lang w:eastAsia="zh-CN"/>
              </w:rPr>
              <w:t>7.51</w:t>
            </w:r>
          </w:p>
        </w:tc>
        <w:tc>
          <w:tcPr>
            <w:tcW w:w="1397" w:type="pct"/>
            <w:tcBorders>
              <w:top w:val="single" w:color="auto" w:sz="4" w:space="0"/>
              <w:left w:val="single" w:color="auto" w:sz="4" w:space="0"/>
              <w:bottom w:val="single" w:color="auto" w:sz="4" w:space="0"/>
              <w:right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考察项目实施后村民的满意度情况</w:t>
            </w:r>
          </w:p>
        </w:tc>
        <w:tc>
          <w:tcPr>
            <w:tcW w:w="1454" w:type="pct"/>
            <w:tcBorders>
              <w:top w:val="single" w:color="auto" w:sz="4" w:space="0"/>
              <w:left w:val="single" w:color="auto" w:sz="4" w:space="0"/>
              <w:bottom w:val="single" w:color="auto" w:sz="4" w:space="0"/>
            </w:tcBorders>
            <w:noWrap/>
            <w:vAlign w:val="center"/>
          </w:tcPr>
          <w:p>
            <w:pPr>
              <w:widowControl w:val="0"/>
              <w:spacing w:after="0" w:line="240" w:lineRule="auto"/>
              <w:jc w:val="center"/>
              <w:rPr>
                <w:rFonts w:ascii="等线" w:hAnsi="等线" w:eastAsia="等线" w:cs="等线"/>
                <w:color w:val="000000"/>
                <w:lang w:eastAsia="zh-CN"/>
              </w:rPr>
            </w:pPr>
            <w:r>
              <w:rPr>
                <w:rFonts w:hint="eastAsia" w:ascii="等线" w:hAnsi="等线" w:eastAsia="等线" w:cs="等线"/>
                <w:color w:val="000000"/>
                <w:lang w:eastAsia="zh-CN"/>
              </w:rPr>
              <w:t>根据问卷调查中满意度问题进行评分。满意度≧90%以上，得满分；低于90%，得分=满意度*权重分。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142" w:type="pct"/>
            <w:gridSpan w:val="3"/>
            <w:tcBorders>
              <w:top w:val="single" w:color="auto" w:sz="4" w:space="0"/>
              <w:bottom w:val="single" w:color="auto" w:sz="12"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合计</w:t>
            </w:r>
          </w:p>
        </w:tc>
        <w:tc>
          <w:tcPr>
            <w:tcW w:w="220"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r>
              <w:rPr>
                <w:rFonts w:hint="eastAsia" w:ascii="等线" w:hAnsi="等线" w:eastAsia="等线" w:cs="等线"/>
                <w:b/>
                <w:bCs/>
                <w:color w:val="000000"/>
              </w:rPr>
              <w:t>100</w:t>
            </w:r>
          </w:p>
        </w:tc>
        <w:tc>
          <w:tcPr>
            <w:tcW w:w="405"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p>
        </w:tc>
        <w:tc>
          <w:tcPr>
            <w:tcW w:w="379"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240" w:lineRule="auto"/>
              <w:jc w:val="center"/>
              <w:rPr>
                <w:rFonts w:ascii="等线" w:hAnsi="等线" w:eastAsia="等线" w:cs="等线"/>
                <w:b/>
                <w:bCs/>
                <w:color w:val="000000"/>
                <w:lang w:eastAsia="zh-CN"/>
              </w:rPr>
            </w:pPr>
            <w:r>
              <w:rPr>
                <w:rFonts w:hint="eastAsia" w:ascii="等线" w:hAnsi="等线" w:eastAsia="等线" w:cs="等线"/>
                <w:b/>
                <w:bCs/>
                <w:color w:val="000000"/>
                <w:lang w:eastAsia="zh-CN"/>
              </w:rPr>
              <w:t>77.00</w:t>
            </w:r>
          </w:p>
        </w:tc>
        <w:tc>
          <w:tcPr>
            <w:tcW w:w="1397" w:type="pct"/>
            <w:tcBorders>
              <w:top w:val="single" w:color="auto" w:sz="4" w:space="0"/>
              <w:left w:val="single" w:color="auto" w:sz="4" w:space="0"/>
              <w:bottom w:val="single" w:color="auto" w:sz="12" w:space="0"/>
              <w:right w:val="single" w:color="auto" w:sz="4" w:space="0"/>
            </w:tcBorders>
            <w:noWrap/>
            <w:vAlign w:val="center"/>
          </w:tcPr>
          <w:p>
            <w:pPr>
              <w:widowControl w:val="0"/>
              <w:spacing w:after="0" w:line="240" w:lineRule="auto"/>
              <w:jc w:val="center"/>
              <w:rPr>
                <w:rFonts w:ascii="等线" w:hAnsi="等线" w:eastAsia="等线" w:cs="等线"/>
                <w:b/>
                <w:bCs/>
                <w:color w:val="000000"/>
              </w:rPr>
            </w:pPr>
          </w:p>
        </w:tc>
        <w:tc>
          <w:tcPr>
            <w:tcW w:w="1454" w:type="pct"/>
            <w:tcBorders>
              <w:top w:val="single" w:color="auto" w:sz="4" w:space="0"/>
              <w:left w:val="single" w:color="auto" w:sz="4" w:space="0"/>
              <w:bottom w:val="single" w:color="auto" w:sz="12" w:space="0"/>
            </w:tcBorders>
            <w:noWrap/>
            <w:vAlign w:val="center"/>
          </w:tcPr>
          <w:p>
            <w:pPr>
              <w:widowControl w:val="0"/>
              <w:spacing w:after="0" w:line="240" w:lineRule="auto"/>
              <w:jc w:val="center"/>
              <w:rPr>
                <w:rFonts w:ascii="等线" w:hAnsi="等线" w:eastAsia="等线" w:cs="等线"/>
                <w:b/>
                <w:bCs/>
                <w:color w:val="000000"/>
              </w:rPr>
            </w:pPr>
          </w:p>
        </w:tc>
      </w:tr>
    </w:tbl>
    <w:p>
      <w:pPr>
        <w:pStyle w:val="10"/>
        <w:spacing w:before="156"/>
        <w:ind w:left="0" w:leftChars="0"/>
        <w:sectPr>
          <w:pgSz w:w="16838" w:h="11906" w:orient="landscape"/>
          <w:pgMar w:top="1800" w:right="1440" w:bottom="1800" w:left="1440" w:header="851" w:footer="992" w:gutter="0"/>
          <w:pgNumType w:start="1"/>
          <w:cols w:space="720"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before="0" w:beforeLines="0" w:line="360" w:lineRule="auto"/>
        <w:ind w:firstLine="562"/>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附件2：满意度问卷调查报告</w:t>
      </w:r>
      <w:bookmarkEnd w:id="0"/>
      <w:bookmarkEnd w:id="1"/>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kern w:val="2"/>
          <w:sz w:val="28"/>
          <w:szCs w:val="28"/>
          <w:lang w:eastAsia="zh-CN"/>
        </w:rPr>
      </w:pPr>
      <w:r>
        <w:rPr>
          <w:rFonts w:hint="eastAsia" w:ascii="仿宋" w:hAnsi="仿宋" w:eastAsia="仿宋" w:cs="仿宋"/>
          <w:b/>
          <w:kern w:val="2"/>
          <w:sz w:val="28"/>
          <w:szCs w:val="28"/>
          <w:lang w:val="en-US" w:eastAsia="zh-CN"/>
        </w:rPr>
        <w:t>兴庆区黄河银川段两岸河滩地收回整治生态修复项目</w:t>
      </w:r>
      <w:r>
        <w:rPr>
          <w:rFonts w:hint="eastAsia" w:ascii="仿宋" w:hAnsi="仿宋" w:eastAsia="仿宋" w:cs="仿宋"/>
          <w:b/>
          <w:kern w:val="2"/>
          <w:sz w:val="28"/>
          <w:szCs w:val="28"/>
          <w:lang w:eastAsia="zh-CN"/>
        </w:rPr>
        <w:t>满意度问卷调查报告</w:t>
      </w:r>
    </w:p>
    <w:p>
      <w:pPr>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ascii="仿宋" w:hAnsi="仿宋" w:eastAsia="仿宋" w:cs="仿宋"/>
          <w:b/>
          <w:bCs/>
          <w:sz w:val="28"/>
          <w:szCs w:val="28"/>
          <w:lang w:eastAsia="zh-CN"/>
        </w:rPr>
      </w:pPr>
      <w:r>
        <w:rPr>
          <w:rFonts w:hint="eastAsia" w:ascii="仿宋" w:hAnsi="仿宋" w:eastAsia="仿宋" w:cs="仿宋"/>
          <w:b/>
          <w:bCs/>
          <w:sz w:val="28"/>
          <w:szCs w:val="28"/>
          <w:lang w:eastAsia="zh-CN"/>
        </w:rPr>
        <w:t>一、调查内容</w:t>
      </w:r>
    </w:p>
    <w:p>
      <w:pPr>
        <w:keepNext w:val="0"/>
        <w:keepLines w:val="0"/>
        <w:pageBreakBefore w:val="0"/>
        <w:widowControl w:val="0"/>
        <w:kinsoku/>
        <w:wordWrap/>
        <w:overflowPunct/>
        <w:topLinePunct w:val="0"/>
        <w:autoSpaceDE w:val="0"/>
        <w:autoSpaceDN/>
        <w:bidi w:val="0"/>
        <w:adjustRightInd w:val="0"/>
        <w:snapToGrid w:val="0"/>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为客观评价</w:t>
      </w:r>
      <w:r>
        <w:rPr>
          <w:rFonts w:hint="eastAsia" w:ascii="仿宋" w:hAnsi="仿宋" w:eastAsia="仿宋" w:cs="仿宋"/>
          <w:kern w:val="2"/>
          <w:sz w:val="28"/>
          <w:szCs w:val="28"/>
          <w:lang w:val="en-US" w:eastAsia="zh-CN"/>
        </w:rPr>
        <w:t>兴庆区</w:t>
      </w:r>
      <w:r>
        <w:rPr>
          <w:rFonts w:hint="eastAsia" w:ascii="仿宋" w:hAnsi="仿宋" w:eastAsia="仿宋" w:cs="仿宋"/>
          <w:kern w:val="2"/>
          <w:sz w:val="28"/>
          <w:szCs w:val="28"/>
          <w:lang w:eastAsia="zh-CN"/>
        </w:rPr>
        <w:t>202</w:t>
      </w:r>
      <w:r>
        <w:rPr>
          <w:rFonts w:hint="eastAsia" w:ascii="仿宋" w:hAnsi="仿宋" w:eastAsia="仿宋" w:cs="仿宋"/>
          <w:kern w:val="2"/>
          <w:sz w:val="28"/>
          <w:szCs w:val="28"/>
          <w:lang w:val="en-US" w:eastAsia="zh-CN"/>
        </w:rPr>
        <w:t>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eastAsia="zh-CN"/>
        </w:rPr>
        <w:t>兴庆区黄河银川段两岸河滩地收回整治生态修复项目</w:t>
      </w:r>
      <w:r>
        <w:rPr>
          <w:rFonts w:hint="eastAsia" w:ascii="仿宋" w:hAnsi="仿宋" w:eastAsia="仿宋" w:cs="仿宋"/>
          <w:kern w:val="2"/>
          <w:sz w:val="28"/>
          <w:szCs w:val="28"/>
          <w:lang w:eastAsia="zh-CN"/>
        </w:rPr>
        <w:t>的社会效果、规范项目的常规管理、促进资源的合理规划与配置，了解受益对象满意度，本次满意度问卷对兴庆区</w:t>
      </w:r>
      <w:r>
        <w:rPr>
          <w:rFonts w:hint="eastAsia" w:ascii="仿宋" w:hAnsi="仿宋" w:eastAsia="仿宋" w:cs="仿宋"/>
          <w:kern w:val="2"/>
          <w:sz w:val="28"/>
          <w:szCs w:val="28"/>
          <w:lang w:val="en-US" w:eastAsia="zh-CN"/>
        </w:rPr>
        <w:t>通贵乡</w:t>
      </w:r>
      <w:r>
        <w:rPr>
          <w:rFonts w:hint="eastAsia" w:ascii="仿宋" w:hAnsi="仿宋" w:eastAsia="仿宋" w:cs="仿宋"/>
          <w:kern w:val="2"/>
          <w:sz w:val="28"/>
          <w:szCs w:val="28"/>
          <w:lang w:eastAsia="zh-CN"/>
        </w:rPr>
        <w:t>202</w:t>
      </w:r>
      <w:r>
        <w:rPr>
          <w:rFonts w:hint="eastAsia" w:ascii="仿宋" w:hAnsi="仿宋" w:eastAsia="仿宋" w:cs="仿宋"/>
          <w:kern w:val="2"/>
          <w:sz w:val="28"/>
          <w:szCs w:val="28"/>
          <w:lang w:val="en-US" w:eastAsia="zh-CN"/>
        </w:rPr>
        <w:t>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eastAsia="zh-CN"/>
        </w:rPr>
        <w:t>兴庆区黄河银川段两岸河滩地收回整治生态修复项目</w:t>
      </w:r>
      <w:r>
        <w:rPr>
          <w:rFonts w:hint="eastAsia" w:ascii="仿宋" w:hAnsi="仿宋" w:eastAsia="仿宋" w:cs="仿宋"/>
          <w:kern w:val="2"/>
          <w:sz w:val="28"/>
          <w:szCs w:val="28"/>
          <w:lang w:eastAsia="zh-CN"/>
        </w:rPr>
        <w:t>受益</w:t>
      </w:r>
      <w:r>
        <w:rPr>
          <w:rFonts w:hint="eastAsia" w:ascii="仿宋" w:hAnsi="仿宋" w:eastAsia="仿宋" w:cs="仿宋"/>
          <w:kern w:val="2"/>
          <w:sz w:val="28"/>
          <w:szCs w:val="28"/>
          <w:lang w:val="en-US" w:eastAsia="zh-CN"/>
        </w:rPr>
        <w:t>村民</w:t>
      </w:r>
      <w:r>
        <w:rPr>
          <w:rFonts w:hint="eastAsia" w:ascii="仿宋" w:hAnsi="仿宋" w:eastAsia="仿宋" w:cs="仿宋"/>
          <w:kern w:val="2"/>
          <w:sz w:val="28"/>
          <w:szCs w:val="28"/>
          <w:lang w:eastAsia="zh-CN"/>
        </w:rPr>
        <w:t>进行问卷调查。</w:t>
      </w:r>
    </w:p>
    <w:p>
      <w:pPr>
        <w:widowControl w:val="0"/>
        <w:spacing w:after="0" w:line="360" w:lineRule="auto"/>
        <w:ind w:firstLine="560" w:firstLineChars="200"/>
        <w:jc w:val="both"/>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eastAsia="zh-CN"/>
        </w:rPr>
        <w:t>针对202</w:t>
      </w:r>
      <w:r>
        <w:rPr>
          <w:rFonts w:hint="eastAsia" w:ascii="仿宋" w:hAnsi="仿宋" w:eastAsia="仿宋" w:cs="仿宋"/>
          <w:kern w:val="2"/>
          <w:sz w:val="28"/>
          <w:szCs w:val="28"/>
          <w:lang w:val="en-US" w:eastAsia="zh-CN"/>
        </w:rPr>
        <w:t>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eastAsia="zh-CN"/>
        </w:rPr>
        <w:t>兴庆区黄河银川段两岸河滩地收回整治生态修复项目</w:t>
      </w:r>
      <w:r>
        <w:rPr>
          <w:rFonts w:hint="eastAsia" w:ascii="仿宋" w:hAnsi="仿宋" w:eastAsia="仿宋" w:cs="仿宋"/>
          <w:kern w:val="2"/>
          <w:sz w:val="28"/>
          <w:szCs w:val="28"/>
          <w:lang w:eastAsia="zh-CN"/>
        </w:rPr>
        <w:t>满意度调查包含以下四个问题：</w:t>
      </w:r>
      <w:r>
        <w:rPr>
          <w:rFonts w:hint="eastAsia" w:ascii="仿宋" w:hAnsi="仿宋" w:eastAsia="仿宋" w:cs="仿宋"/>
          <w:kern w:val="2"/>
          <w:sz w:val="28"/>
          <w:szCs w:val="28"/>
          <w:lang w:val="en-US" w:eastAsia="zh-CN"/>
        </w:rPr>
        <w:t>一是您了解该项目吗？二是您对补助标准满意吗？三是您对补助及时性满意吗？四是您流转责任地面积测量面积认可吗？</w:t>
      </w:r>
    </w:p>
    <w:p>
      <w:pPr>
        <w:keepNext w:val="0"/>
        <w:keepLines w:val="0"/>
        <w:pageBreakBefore w:val="0"/>
        <w:widowControl w:val="0"/>
        <w:kinsoku/>
        <w:wordWrap/>
        <w:overflowPunct/>
        <w:topLinePunct w:val="0"/>
        <w:autoSpaceDN/>
        <w:bidi w:val="0"/>
        <w:spacing w:after="0" w:line="360" w:lineRule="auto"/>
        <w:ind w:firstLine="562"/>
        <w:textAlignment w:val="auto"/>
        <w:rPr>
          <w:rFonts w:ascii="仿宋" w:hAnsi="仿宋" w:eastAsia="仿宋" w:cs="仿宋"/>
          <w:b/>
          <w:bCs/>
          <w:sz w:val="28"/>
          <w:szCs w:val="28"/>
          <w:lang w:eastAsia="zh-CN"/>
        </w:rPr>
      </w:pPr>
      <w:r>
        <w:rPr>
          <w:rFonts w:hint="eastAsia" w:ascii="仿宋" w:hAnsi="仿宋" w:eastAsia="仿宋" w:cs="仿宋"/>
          <w:b/>
          <w:bCs/>
          <w:sz w:val="28"/>
          <w:szCs w:val="28"/>
          <w:lang w:eastAsia="zh-CN"/>
        </w:rPr>
        <w:t>二、调查要求</w:t>
      </w:r>
    </w:p>
    <w:p>
      <w:pPr>
        <w:keepNext w:val="0"/>
        <w:keepLines w:val="0"/>
        <w:pageBreakBefore w:val="0"/>
        <w:widowControl w:val="0"/>
        <w:kinsoku/>
        <w:wordWrap/>
        <w:overflowPunct/>
        <w:topLinePunct w:val="0"/>
        <w:autoSpaceDE w:val="0"/>
        <w:autoSpaceDN/>
        <w:bidi w:val="0"/>
        <w:adjustRightInd w:val="0"/>
        <w:snapToGrid w:val="0"/>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为了获取全面、科学、客观的调查结果，对调查的要求规定如下：</w:t>
      </w:r>
    </w:p>
    <w:p>
      <w:pPr>
        <w:keepNext w:val="0"/>
        <w:keepLines w:val="0"/>
        <w:pageBreakBefore w:val="0"/>
        <w:widowControl w:val="0"/>
        <w:kinsoku/>
        <w:wordWrap/>
        <w:overflowPunct/>
        <w:topLinePunct w:val="0"/>
        <w:autoSpaceDE w:val="0"/>
        <w:autoSpaceDN/>
        <w:bidi w:val="0"/>
        <w:adjustRightInd w:val="0"/>
        <w:snapToGrid w:val="0"/>
        <w:spacing w:after="0" w:line="360" w:lineRule="auto"/>
        <w:ind w:firstLine="560" w:firstLineChars="200"/>
        <w:jc w:val="both"/>
        <w:textAlignment w:val="auto"/>
        <w:rPr>
          <w:rFonts w:ascii="仿宋" w:hAnsi="仿宋" w:eastAsia="仿宋" w:cs="仿宋"/>
          <w:kern w:val="2"/>
          <w:sz w:val="28"/>
          <w:szCs w:val="28"/>
          <w:lang w:eastAsia="zh-CN"/>
        </w:rPr>
      </w:pPr>
      <w:r>
        <w:rPr>
          <w:rFonts w:hint="eastAsia" w:ascii="仿宋" w:hAnsi="仿宋" w:eastAsia="仿宋" w:cs="仿宋"/>
          <w:kern w:val="2"/>
          <w:sz w:val="28"/>
          <w:szCs w:val="28"/>
          <w:lang w:eastAsia="zh-CN"/>
        </w:rPr>
        <w:t>1.调查对象为202</w:t>
      </w:r>
      <w:r>
        <w:rPr>
          <w:rFonts w:hint="eastAsia" w:ascii="仿宋" w:hAnsi="仿宋" w:eastAsia="仿宋" w:cs="仿宋"/>
          <w:kern w:val="2"/>
          <w:sz w:val="28"/>
          <w:szCs w:val="28"/>
          <w:lang w:val="en-US" w:eastAsia="zh-CN"/>
        </w:rPr>
        <w:t>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eastAsia="zh-CN"/>
        </w:rPr>
        <w:t>兴庆区黄河银川段两岸河滩地收回整治生态修复项目</w:t>
      </w:r>
      <w:r>
        <w:rPr>
          <w:rFonts w:hint="eastAsia" w:ascii="仿宋" w:hAnsi="仿宋" w:eastAsia="仿宋" w:cs="仿宋"/>
          <w:kern w:val="2"/>
          <w:sz w:val="28"/>
          <w:szCs w:val="28"/>
          <w:lang w:eastAsia="zh-CN"/>
        </w:rPr>
        <w:t>受益</w:t>
      </w:r>
      <w:r>
        <w:rPr>
          <w:rFonts w:hint="eastAsia" w:ascii="仿宋" w:hAnsi="仿宋" w:eastAsia="仿宋" w:cs="仿宋"/>
          <w:kern w:val="2"/>
          <w:sz w:val="28"/>
          <w:szCs w:val="28"/>
          <w:lang w:val="en-US" w:eastAsia="zh-CN"/>
        </w:rPr>
        <w:t>村民</w:t>
      </w:r>
      <w:r>
        <w:rPr>
          <w:rFonts w:hint="eastAsia" w:ascii="仿宋" w:hAnsi="仿宋" w:eastAsia="仿宋" w:cs="仿宋"/>
          <w:kern w:val="2"/>
          <w:sz w:val="28"/>
          <w:szCs w:val="28"/>
          <w:lang w:eastAsia="zh-CN"/>
        </w:rPr>
        <w:t>。</w:t>
      </w:r>
    </w:p>
    <w:p>
      <w:pPr>
        <w:keepNext w:val="0"/>
        <w:keepLines w:val="0"/>
        <w:pageBreakBefore w:val="0"/>
        <w:widowControl w:val="0"/>
        <w:kinsoku/>
        <w:wordWrap/>
        <w:overflowPunct/>
        <w:topLinePunct w:val="0"/>
        <w:autoSpaceDN/>
        <w:bidi w:val="0"/>
        <w:spacing w:after="0" w:line="360" w:lineRule="auto"/>
        <w:ind w:firstLine="562"/>
        <w:textAlignment w:val="auto"/>
        <w:rPr>
          <w:rFonts w:hint="eastAsia" w:ascii="仿宋" w:hAnsi="仿宋" w:eastAsia="仿宋" w:cs="仿宋"/>
          <w:kern w:val="2"/>
          <w:sz w:val="28"/>
          <w:szCs w:val="28"/>
          <w:lang w:eastAsia="zh-CN"/>
        </w:rPr>
      </w:pPr>
      <w:r>
        <w:rPr>
          <w:rFonts w:hint="eastAsia" w:ascii="仿宋" w:hAnsi="仿宋" w:eastAsia="仿宋" w:cs="仿宋"/>
          <w:kern w:val="2"/>
          <w:sz w:val="28"/>
          <w:szCs w:val="28"/>
          <w:lang w:eastAsia="zh-CN"/>
        </w:rPr>
        <w:t>2.调查对象数量根据回收电子问卷调查数量</w:t>
      </w:r>
      <w:r>
        <w:rPr>
          <w:rFonts w:hint="eastAsia" w:ascii="仿宋" w:hAnsi="仿宋" w:eastAsia="仿宋" w:cs="仿宋"/>
          <w:kern w:val="2"/>
          <w:sz w:val="28"/>
          <w:szCs w:val="28"/>
          <w:lang w:val="en-US" w:eastAsia="zh-CN"/>
        </w:rPr>
        <w:t>和进行电话问卷调查的数量</w:t>
      </w:r>
      <w:r>
        <w:rPr>
          <w:rFonts w:hint="eastAsia" w:ascii="仿宋" w:hAnsi="仿宋" w:eastAsia="仿宋" w:cs="仿宋"/>
          <w:kern w:val="2"/>
          <w:sz w:val="28"/>
          <w:szCs w:val="28"/>
          <w:lang w:eastAsia="zh-CN"/>
        </w:rPr>
        <w:t>确定。</w:t>
      </w:r>
      <w:r>
        <w:rPr>
          <w:rFonts w:hint="eastAsia" w:ascii="仿宋" w:hAnsi="仿宋" w:eastAsia="仿宋" w:cs="仿宋"/>
          <w:kern w:val="2"/>
          <w:sz w:val="28"/>
          <w:szCs w:val="28"/>
          <w:lang w:val="en-US" w:eastAsia="zh-CN"/>
        </w:rPr>
        <w:t>经过统计</w:t>
      </w:r>
      <w:r>
        <w:rPr>
          <w:rFonts w:hint="eastAsia" w:ascii="仿宋" w:hAnsi="仿宋" w:eastAsia="仿宋" w:cs="仿宋"/>
          <w:kern w:val="2"/>
          <w:sz w:val="28"/>
          <w:szCs w:val="28"/>
          <w:lang w:val="zh-TW" w:eastAsia="zh-TW"/>
        </w:rPr>
        <w:t>实际回收</w:t>
      </w:r>
      <w:r>
        <w:rPr>
          <w:rFonts w:hint="eastAsia" w:ascii="仿宋" w:hAnsi="仿宋" w:eastAsia="仿宋" w:cs="仿宋"/>
          <w:kern w:val="2"/>
          <w:sz w:val="28"/>
          <w:szCs w:val="28"/>
          <w:lang w:eastAsia="zh-CN"/>
        </w:rPr>
        <w:t>有效问卷</w:t>
      </w:r>
      <w:r>
        <w:rPr>
          <w:rFonts w:hint="eastAsia" w:ascii="仿宋" w:hAnsi="仿宋" w:eastAsia="仿宋" w:cs="仿宋"/>
          <w:kern w:val="2"/>
          <w:sz w:val="28"/>
          <w:szCs w:val="28"/>
          <w:lang w:val="en-US" w:eastAsia="zh-CN"/>
        </w:rPr>
        <w:t>共160</w:t>
      </w:r>
      <w:r>
        <w:rPr>
          <w:rFonts w:hint="eastAsia" w:ascii="仿宋" w:hAnsi="仿宋" w:eastAsia="仿宋" w:cs="仿宋"/>
          <w:kern w:val="2"/>
          <w:sz w:val="28"/>
          <w:szCs w:val="28"/>
          <w:lang w:eastAsia="zh-CN"/>
        </w:rPr>
        <w:t>份。</w:t>
      </w:r>
    </w:p>
    <w:p>
      <w:pPr>
        <w:keepNext w:val="0"/>
        <w:keepLines w:val="0"/>
        <w:pageBreakBefore w:val="0"/>
        <w:widowControl w:val="0"/>
        <w:kinsoku/>
        <w:wordWrap/>
        <w:overflowPunct/>
        <w:topLinePunct w:val="0"/>
        <w:autoSpaceDN/>
        <w:bidi w:val="0"/>
        <w:spacing w:after="0" w:line="360" w:lineRule="auto"/>
        <w:ind w:firstLine="562"/>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三、</w:t>
      </w:r>
      <w:r>
        <w:rPr>
          <w:rFonts w:hint="eastAsia" w:ascii="仿宋" w:hAnsi="仿宋" w:eastAsia="仿宋" w:cs="仿宋"/>
          <w:b/>
          <w:bCs/>
          <w:sz w:val="28"/>
          <w:szCs w:val="28"/>
          <w:lang w:eastAsia="zh-CN"/>
        </w:rPr>
        <w:t>调查结果</w:t>
      </w:r>
    </w:p>
    <w:p>
      <w:pPr>
        <w:keepNext w:val="0"/>
        <w:keepLines w:val="0"/>
        <w:pageBreakBefore w:val="0"/>
        <w:widowControl w:val="0"/>
        <w:kinsoku/>
        <w:wordWrap/>
        <w:overflowPunct/>
        <w:topLinePunct w:val="0"/>
        <w:autoSpaceDE w:val="0"/>
        <w:autoSpaceDN/>
        <w:bidi w:val="0"/>
        <w:adjustRightInd w:val="0"/>
        <w:snapToGrid w:val="0"/>
        <w:spacing w:after="0" w:line="360" w:lineRule="auto"/>
        <w:ind w:firstLine="560" w:firstLineChars="200"/>
        <w:jc w:val="both"/>
        <w:textAlignment w:val="auto"/>
        <w:rPr>
          <w:rFonts w:hint="eastAsia" w:ascii="仿宋" w:hAnsi="仿宋" w:eastAsia="仿宋" w:cs="仿宋"/>
          <w:kern w:val="2"/>
          <w:sz w:val="28"/>
          <w:szCs w:val="28"/>
          <w:lang w:eastAsia="zh-CN"/>
        </w:rPr>
      </w:pPr>
      <w:r>
        <w:rPr>
          <w:rFonts w:hint="eastAsia" w:ascii="仿宋" w:hAnsi="仿宋" w:eastAsia="仿宋" w:cs="仿宋"/>
          <w:kern w:val="2"/>
          <w:sz w:val="28"/>
          <w:szCs w:val="28"/>
          <w:lang w:eastAsia="zh-CN"/>
        </w:rPr>
        <w:t>根据各项目相关问卷调查内容，具体调查结果如下所示：</w:t>
      </w:r>
    </w:p>
    <w:p>
      <w:pPr>
        <w:keepNext w:val="0"/>
        <w:keepLines w:val="0"/>
        <w:pageBreakBefore w:val="0"/>
        <w:widowControl w:val="0"/>
        <w:kinsoku/>
        <w:wordWrap/>
        <w:overflowPunct/>
        <w:topLinePunct w:val="0"/>
        <w:autoSpaceDE w:val="0"/>
        <w:autoSpaceDN/>
        <w:bidi w:val="0"/>
        <w:adjustRightInd w:val="0"/>
        <w:snapToGrid w:val="0"/>
        <w:spacing w:after="0" w:line="360" w:lineRule="auto"/>
        <w:ind w:firstLine="560" w:firstLineChars="200"/>
        <w:jc w:val="both"/>
        <w:textAlignment w:val="auto"/>
        <w:rPr>
          <w:rFonts w:hint="eastAsia" w:ascii="仿宋" w:hAnsi="仿宋" w:eastAsia="仿宋" w:cs="仿宋"/>
          <w:kern w:val="2"/>
          <w:sz w:val="28"/>
          <w:szCs w:val="28"/>
          <w:lang w:eastAsia="zh-CN"/>
        </w:rPr>
      </w:pPr>
      <w:r>
        <w:rPr>
          <w:rFonts w:hint="eastAsia" w:ascii="仿宋" w:hAnsi="仿宋" w:eastAsia="仿宋" w:cs="仿宋"/>
          <w:kern w:val="2"/>
          <w:sz w:val="28"/>
          <w:szCs w:val="28"/>
          <w:lang w:eastAsia="zh-CN"/>
        </w:rPr>
        <w:t>本次满意度调查问卷，共设置了4个满意度问题，每个问题的满意度问题分为4档，依次为：非常满意、比较满意、一般、不满意；各档次对应的分值分别为100%、80%、60%、0%，通过加权计算</w:t>
      </w:r>
      <w:r>
        <w:rPr>
          <w:rFonts w:hint="eastAsia" w:ascii="仿宋" w:hAnsi="仿宋" w:eastAsia="仿宋" w:cs="仿宋"/>
          <w:kern w:val="2"/>
          <w:sz w:val="28"/>
          <w:szCs w:val="28"/>
          <w:lang w:eastAsia="zh-CN"/>
        </w:rPr>
        <w:footnoteReference w:id="0"/>
      </w:r>
      <w:r>
        <w:rPr>
          <w:rFonts w:hint="eastAsia" w:ascii="仿宋" w:hAnsi="仿宋" w:eastAsia="仿宋" w:cs="仿宋"/>
          <w:kern w:val="2"/>
          <w:sz w:val="28"/>
          <w:szCs w:val="28"/>
          <w:lang w:eastAsia="zh-CN"/>
        </w:rPr>
        <w:t>得出各项指标的满意度比例。</w:t>
      </w:r>
    </w:p>
    <w:tbl>
      <w:tblPr>
        <w:tblStyle w:val="15"/>
        <w:tblW w:w="8288" w:type="dxa"/>
        <w:tblInd w:w="0" w:type="dxa"/>
        <w:tblLayout w:type="fixed"/>
        <w:tblCellMar>
          <w:top w:w="0" w:type="dxa"/>
          <w:left w:w="108" w:type="dxa"/>
          <w:bottom w:w="0" w:type="dxa"/>
          <w:right w:w="108" w:type="dxa"/>
        </w:tblCellMar>
      </w:tblPr>
      <w:tblGrid>
        <w:gridCol w:w="2746"/>
        <w:gridCol w:w="1500"/>
        <w:gridCol w:w="1170"/>
        <w:gridCol w:w="1230"/>
        <w:gridCol w:w="1642"/>
      </w:tblGrid>
      <w:tr>
        <w:tblPrEx>
          <w:tblCellMar>
            <w:top w:w="0" w:type="dxa"/>
            <w:left w:w="108" w:type="dxa"/>
            <w:bottom w:w="0" w:type="dxa"/>
            <w:right w:w="108" w:type="dxa"/>
          </w:tblCellMar>
        </w:tblPrEx>
        <w:trPr>
          <w:trHeight w:val="567" w:hRule="atLeast"/>
        </w:trPr>
        <w:tc>
          <w:tcPr>
            <w:tcW w:w="2746" w:type="dxa"/>
            <w:tcBorders>
              <w:top w:val="single" w:color="auto" w:sz="12" w:space="0"/>
              <w:left w:val="nil"/>
              <w:bottom w:val="single" w:color="auto" w:sz="4" w:space="0"/>
              <w:right w:val="single" w:color="auto" w:sz="4" w:space="0"/>
            </w:tcBorders>
            <w:vAlign w:val="center"/>
          </w:tcPr>
          <w:p>
            <w:pPr>
              <w:spacing w:after="0" w:line="360" w:lineRule="auto"/>
              <w:jc w:val="center"/>
              <w:rPr>
                <w:rFonts w:ascii="等线" w:hAnsi="等线" w:eastAsia="等线" w:cs="等线"/>
                <w:b/>
                <w:bCs/>
                <w:color w:val="000000"/>
              </w:rPr>
            </w:pPr>
            <w:r>
              <w:rPr>
                <w:rFonts w:hint="eastAsia" w:ascii="等线" w:hAnsi="等线" w:eastAsia="等线" w:cs="等线"/>
                <w:b/>
                <w:bCs/>
                <w:color w:val="000000"/>
              </w:rPr>
              <w:t>选项</w:t>
            </w:r>
          </w:p>
        </w:tc>
        <w:tc>
          <w:tcPr>
            <w:tcW w:w="1500" w:type="dxa"/>
            <w:tcBorders>
              <w:top w:val="single" w:color="auto" w:sz="12"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b/>
                <w:bCs/>
                <w:color w:val="000000"/>
              </w:rPr>
            </w:pPr>
            <w:r>
              <w:rPr>
                <w:rFonts w:hint="eastAsia" w:ascii="等线" w:hAnsi="等线" w:eastAsia="等线" w:cs="等线"/>
                <w:b/>
                <w:bCs/>
                <w:color w:val="000000"/>
              </w:rPr>
              <w:t>非常满意</w:t>
            </w:r>
          </w:p>
        </w:tc>
        <w:tc>
          <w:tcPr>
            <w:tcW w:w="1170" w:type="dxa"/>
            <w:tcBorders>
              <w:top w:val="single" w:color="auto" w:sz="12"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b/>
                <w:bCs/>
                <w:color w:val="000000"/>
              </w:rPr>
            </w:pPr>
            <w:r>
              <w:rPr>
                <w:rFonts w:hint="eastAsia" w:ascii="等线" w:hAnsi="等线" w:eastAsia="等线" w:cs="等线"/>
                <w:b/>
                <w:bCs/>
                <w:color w:val="000000"/>
              </w:rPr>
              <w:t>比较满意</w:t>
            </w:r>
          </w:p>
        </w:tc>
        <w:tc>
          <w:tcPr>
            <w:tcW w:w="1230" w:type="dxa"/>
            <w:tcBorders>
              <w:top w:val="single" w:color="auto" w:sz="12" w:space="0"/>
              <w:left w:val="single" w:color="auto" w:sz="4" w:space="0"/>
              <w:bottom w:val="single" w:color="auto" w:sz="4" w:space="0"/>
              <w:right w:val="single" w:color="auto" w:sz="4" w:space="0"/>
            </w:tcBorders>
            <w:vAlign w:val="center"/>
          </w:tcPr>
          <w:p>
            <w:pPr>
              <w:spacing w:after="0" w:line="360" w:lineRule="auto"/>
              <w:jc w:val="center"/>
              <w:rPr>
                <w:rFonts w:ascii="等线" w:hAnsi="等线" w:eastAsia="等线" w:cs="等线"/>
                <w:b/>
                <w:bCs/>
                <w:color w:val="000000"/>
              </w:rPr>
            </w:pPr>
            <w:r>
              <w:rPr>
                <w:rFonts w:hint="eastAsia" w:ascii="等线" w:hAnsi="等线" w:eastAsia="等线" w:cs="等线"/>
                <w:b/>
                <w:bCs/>
                <w:color w:val="000000"/>
              </w:rPr>
              <w:t>一般</w:t>
            </w:r>
          </w:p>
        </w:tc>
        <w:tc>
          <w:tcPr>
            <w:tcW w:w="1642" w:type="dxa"/>
            <w:tcBorders>
              <w:top w:val="single" w:color="auto" w:sz="12" w:space="0"/>
              <w:left w:val="single" w:color="auto" w:sz="4" w:space="0"/>
              <w:bottom w:val="single" w:color="auto" w:sz="4" w:space="0"/>
              <w:right w:val="nil"/>
            </w:tcBorders>
            <w:vAlign w:val="center"/>
          </w:tcPr>
          <w:p>
            <w:pPr>
              <w:spacing w:after="0" w:line="360" w:lineRule="auto"/>
              <w:jc w:val="center"/>
              <w:rPr>
                <w:rFonts w:ascii="等线" w:hAnsi="等线" w:eastAsia="等线" w:cs="等线"/>
                <w:b/>
                <w:bCs/>
                <w:color w:val="000000"/>
              </w:rPr>
            </w:pPr>
            <w:r>
              <w:rPr>
                <w:rFonts w:hint="eastAsia" w:ascii="等线" w:hAnsi="等线" w:eastAsia="等线" w:cs="等线"/>
                <w:b/>
                <w:bCs/>
                <w:color w:val="000000"/>
              </w:rPr>
              <w:t>不满意</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1.您了解该项目吗</w:t>
            </w:r>
          </w:p>
        </w:tc>
        <w:tc>
          <w:tcPr>
            <w:tcW w:w="150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eastAsia="zh-CN"/>
              </w:rPr>
              <w:t>104</w:t>
            </w:r>
          </w:p>
        </w:tc>
        <w:tc>
          <w:tcPr>
            <w:tcW w:w="117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44</w:t>
            </w:r>
          </w:p>
        </w:tc>
        <w:tc>
          <w:tcPr>
            <w:tcW w:w="123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12</w:t>
            </w:r>
          </w:p>
        </w:tc>
        <w:tc>
          <w:tcPr>
            <w:tcW w:w="1642" w:type="dxa"/>
            <w:tcBorders>
              <w:top w:val="single" w:color="auto" w:sz="4" w:space="0"/>
              <w:left w:val="single" w:color="auto" w:sz="4" w:space="0"/>
              <w:bottom w:val="single" w:color="auto" w:sz="4" w:space="0"/>
              <w:right w:val="nil"/>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eastAsia="zh-CN"/>
              </w:rPr>
              <w:t>---</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2.您对补助标准满意吗？</w:t>
            </w:r>
          </w:p>
        </w:tc>
        <w:tc>
          <w:tcPr>
            <w:tcW w:w="150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59</w:t>
            </w:r>
          </w:p>
        </w:tc>
        <w:tc>
          <w:tcPr>
            <w:tcW w:w="117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40</w:t>
            </w:r>
          </w:p>
        </w:tc>
        <w:tc>
          <w:tcPr>
            <w:tcW w:w="123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33</w:t>
            </w:r>
          </w:p>
        </w:tc>
        <w:tc>
          <w:tcPr>
            <w:tcW w:w="1642" w:type="dxa"/>
            <w:tcBorders>
              <w:top w:val="single" w:color="auto" w:sz="4" w:space="0"/>
              <w:left w:val="single" w:color="auto" w:sz="4" w:space="0"/>
              <w:bottom w:val="single" w:color="auto" w:sz="4" w:space="0"/>
              <w:right w:val="nil"/>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28</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3.您对补助的及时性满意吗？</w:t>
            </w:r>
          </w:p>
        </w:tc>
        <w:tc>
          <w:tcPr>
            <w:tcW w:w="150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67</w:t>
            </w:r>
          </w:p>
        </w:tc>
        <w:tc>
          <w:tcPr>
            <w:tcW w:w="117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39</w:t>
            </w:r>
          </w:p>
        </w:tc>
        <w:tc>
          <w:tcPr>
            <w:tcW w:w="123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41</w:t>
            </w:r>
          </w:p>
        </w:tc>
        <w:tc>
          <w:tcPr>
            <w:tcW w:w="1642" w:type="dxa"/>
            <w:tcBorders>
              <w:top w:val="single" w:color="auto" w:sz="4" w:space="0"/>
              <w:left w:val="single" w:color="auto" w:sz="4" w:space="0"/>
              <w:bottom w:val="single" w:color="auto" w:sz="4" w:space="0"/>
              <w:right w:val="nil"/>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13</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4.您流转责任地面积测量面积认可吗？</w:t>
            </w:r>
          </w:p>
        </w:tc>
        <w:tc>
          <w:tcPr>
            <w:tcW w:w="150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99</w:t>
            </w:r>
          </w:p>
        </w:tc>
        <w:tc>
          <w:tcPr>
            <w:tcW w:w="117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33</w:t>
            </w:r>
          </w:p>
        </w:tc>
        <w:tc>
          <w:tcPr>
            <w:tcW w:w="123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19</w:t>
            </w:r>
          </w:p>
        </w:tc>
        <w:tc>
          <w:tcPr>
            <w:tcW w:w="1642" w:type="dxa"/>
            <w:tcBorders>
              <w:top w:val="single" w:color="auto" w:sz="4" w:space="0"/>
              <w:left w:val="single" w:color="auto" w:sz="4" w:space="0"/>
              <w:bottom w:val="single" w:color="auto" w:sz="4" w:space="0"/>
              <w:right w:val="nil"/>
            </w:tcBorders>
            <w:vAlign w:val="center"/>
          </w:tcPr>
          <w:p>
            <w:pPr>
              <w:autoSpaceDE w:val="0"/>
              <w:spacing w:after="0"/>
              <w:jc w:val="center"/>
              <w:rPr>
                <w:rFonts w:ascii="等线" w:hAnsi="等线" w:eastAsia="等线" w:cs="等线"/>
                <w:lang w:eastAsia="zh-CN"/>
              </w:rPr>
            </w:pPr>
            <w:r>
              <w:rPr>
                <w:rFonts w:hint="eastAsia" w:ascii="等线" w:hAnsi="等线" w:eastAsia="等线" w:cs="等线"/>
                <w:lang w:val="en-US" w:eastAsia="zh-CN"/>
              </w:rPr>
              <w:t>9</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4" w:space="0"/>
              <w:right w:val="single" w:color="auto" w:sz="4" w:space="0"/>
            </w:tcBorders>
            <w:vAlign w:val="center"/>
          </w:tcPr>
          <w:p>
            <w:pPr>
              <w:autoSpaceDE w:val="0"/>
              <w:spacing w:after="0"/>
              <w:jc w:val="center"/>
              <w:rPr>
                <w:rFonts w:ascii="等线" w:hAnsi="等线" w:eastAsia="等线" w:cs="等线"/>
              </w:rPr>
            </w:pPr>
            <w:r>
              <w:rPr>
                <w:rFonts w:hint="eastAsia" w:ascii="等线" w:hAnsi="等线" w:eastAsia="等线" w:cs="等线"/>
              </w:rPr>
              <w:t>百分比%</w:t>
            </w:r>
          </w:p>
        </w:tc>
        <w:tc>
          <w:tcPr>
            <w:tcW w:w="150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rPr>
            </w:pPr>
            <w:r>
              <w:rPr>
                <w:rFonts w:hint="eastAsia" w:ascii="等线" w:hAnsi="等线" w:eastAsia="等线" w:cs="等线"/>
                <w:lang w:eastAsia="zh-CN"/>
              </w:rPr>
              <w:t>45.75</w:t>
            </w:r>
            <w:r>
              <w:rPr>
                <w:rFonts w:hint="eastAsia" w:ascii="等线" w:hAnsi="等线" w:eastAsia="等线" w:cs="等线"/>
              </w:rPr>
              <w:t>%</w:t>
            </w:r>
          </w:p>
        </w:tc>
        <w:tc>
          <w:tcPr>
            <w:tcW w:w="117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24.38</w:t>
            </w:r>
            <w:r>
              <w:rPr>
                <w:rFonts w:hint="eastAsia" w:ascii="等线" w:hAnsi="等线" w:eastAsia="等线" w:cs="等线"/>
              </w:rPr>
              <w:t>%</w:t>
            </w:r>
          </w:p>
        </w:tc>
        <w:tc>
          <w:tcPr>
            <w:tcW w:w="1230" w:type="dxa"/>
            <w:tcBorders>
              <w:top w:val="single" w:color="auto" w:sz="4" w:space="0"/>
              <w:left w:val="single" w:color="auto" w:sz="4" w:space="0"/>
              <w:bottom w:val="single" w:color="auto" w:sz="4" w:space="0"/>
              <w:right w:val="single" w:color="auto" w:sz="4" w:space="0"/>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16.41</w:t>
            </w:r>
            <w:r>
              <w:rPr>
                <w:rFonts w:hint="eastAsia" w:ascii="等线" w:hAnsi="等线" w:eastAsia="等线" w:cs="等线"/>
              </w:rPr>
              <w:t>%</w:t>
            </w:r>
          </w:p>
        </w:tc>
        <w:tc>
          <w:tcPr>
            <w:tcW w:w="1642" w:type="dxa"/>
            <w:tcBorders>
              <w:top w:val="single" w:color="auto" w:sz="4" w:space="0"/>
              <w:left w:val="single" w:color="auto" w:sz="4" w:space="0"/>
              <w:bottom w:val="single" w:color="auto" w:sz="4" w:space="0"/>
              <w:right w:val="nil"/>
            </w:tcBorders>
            <w:vAlign w:val="center"/>
          </w:tcPr>
          <w:p>
            <w:pPr>
              <w:autoSpaceDE w:val="0"/>
              <w:spacing w:after="0"/>
              <w:jc w:val="center"/>
              <w:rPr>
                <w:rFonts w:ascii="等线" w:hAnsi="等线" w:eastAsia="等线" w:cs="等线"/>
              </w:rPr>
            </w:pPr>
            <w:r>
              <w:rPr>
                <w:rFonts w:hint="eastAsia" w:ascii="等线" w:hAnsi="等线" w:eastAsia="等线" w:cs="等线"/>
                <w:lang w:val="en-US" w:eastAsia="zh-CN"/>
              </w:rPr>
              <w:t>7.81</w:t>
            </w:r>
            <w:r>
              <w:rPr>
                <w:rFonts w:hint="eastAsia" w:ascii="等线" w:hAnsi="等线" w:eastAsia="等线" w:cs="等线"/>
              </w:rPr>
              <w:t>%</w:t>
            </w:r>
          </w:p>
        </w:tc>
      </w:tr>
      <w:tr>
        <w:tblPrEx>
          <w:tblCellMar>
            <w:top w:w="0" w:type="dxa"/>
            <w:left w:w="108" w:type="dxa"/>
            <w:bottom w:w="0" w:type="dxa"/>
            <w:right w:w="108" w:type="dxa"/>
          </w:tblCellMar>
        </w:tblPrEx>
        <w:trPr>
          <w:trHeight w:val="567" w:hRule="atLeast"/>
        </w:trPr>
        <w:tc>
          <w:tcPr>
            <w:tcW w:w="2746" w:type="dxa"/>
            <w:tcBorders>
              <w:top w:val="single" w:color="auto" w:sz="4" w:space="0"/>
              <w:left w:val="nil"/>
              <w:bottom w:val="single" w:color="auto" w:sz="12" w:space="0"/>
              <w:right w:val="single" w:color="auto" w:sz="4" w:space="0"/>
            </w:tcBorders>
            <w:vAlign w:val="center"/>
          </w:tcPr>
          <w:p>
            <w:pPr>
              <w:autoSpaceDE w:val="0"/>
              <w:spacing w:after="0" w:line="360" w:lineRule="auto"/>
              <w:ind w:firstLine="440" w:firstLineChars="0"/>
              <w:jc w:val="center"/>
              <w:rPr>
                <w:rFonts w:ascii="等线" w:hAnsi="等线" w:eastAsia="等线" w:cs="等线"/>
                <w:b/>
                <w:bCs/>
                <w:lang w:eastAsia="zh-CN"/>
              </w:rPr>
            </w:pPr>
            <w:r>
              <w:rPr>
                <w:rFonts w:hint="eastAsia" w:ascii="等线" w:hAnsi="等线" w:eastAsia="等线" w:cs="等线"/>
                <w:b/>
                <w:bCs/>
              </w:rPr>
              <w:t>满意度</w:t>
            </w:r>
            <w:r>
              <w:rPr>
                <w:rFonts w:hint="eastAsia" w:ascii="等线" w:hAnsi="等线" w:eastAsia="等线" w:cs="等线"/>
                <w:b/>
                <w:bCs/>
                <w:lang w:eastAsia="zh-CN"/>
              </w:rPr>
              <w:t>计算公式</w:t>
            </w:r>
          </w:p>
        </w:tc>
        <w:tc>
          <w:tcPr>
            <w:tcW w:w="5542" w:type="dxa"/>
            <w:gridSpan w:val="4"/>
            <w:tcBorders>
              <w:top w:val="single" w:color="auto" w:sz="4" w:space="0"/>
              <w:left w:val="single" w:color="auto" w:sz="4" w:space="0"/>
              <w:bottom w:val="single" w:color="auto" w:sz="12" w:space="0"/>
              <w:right w:val="nil"/>
            </w:tcBorders>
            <w:vAlign w:val="center"/>
          </w:tcPr>
          <w:p>
            <w:pPr>
              <w:autoSpaceDE w:val="0"/>
              <w:spacing w:after="0" w:line="360" w:lineRule="auto"/>
              <w:rPr>
                <w:rFonts w:ascii="等线" w:hAnsi="等线" w:eastAsia="等线" w:cs="等线"/>
                <w:b/>
                <w:bCs/>
              </w:rPr>
            </w:pPr>
            <w:r>
              <w:rPr>
                <w:rFonts w:hint="eastAsia" w:ascii="等线" w:hAnsi="等线" w:eastAsia="等线" w:cs="等线"/>
                <w:b/>
                <w:bCs/>
                <w:sz w:val="21"/>
                <w:szCs w:val="21"/>
                <w:lang w:val="en-US" w:eastAsia="zh-CN"/>
              </w:rPr>
              <w:t>45.75%*100+24.38%*80+16.41%*60+7.81%*0=75.1%</w:t>
            </w:r>
          </w:p>
        </w:tc>
      </w:tr>
    </w:tbl>
    <w:p>
      <w:pPr>
        <w:keepNext w:val="0"/>
        <w:keepLines w:val="0"/>
        <w:pageBreakBefore w:val="0"/>
        <w:widowControl w:val="0"/>
        <w:kinsoku/>
        <w:wordWrap/>
        <w:overflowPunct/>
        <w:topLinePunct w:val="0"/>
        <w:autoSpaceDN/>
        <w:bidi w:val="0"/>
        <w:adjustRightInd/>
        <w:snapToGrid/>
        <w:spacing w:after="0" w:line="360" w:lineRule="auto"/>
        <w:ind w:firstLine="561"/>
        <w:textAlignment w:val="auto"/>
        <w:rPr>
          <w:rFonts w:ascii="仿宋" w:hAnsi="仿宋" w:eastAsia="仿宋" w:cs="仿宋"/>
          <w:bCs/>
          <w:sz w:val="28"/>
          <w:szCs w:val="28"/>
          <w:lang w:eastAsia="zh-CN"/>
        </w:rPr>
      </w:pPr>
      <w:r>
        <w:rPr>
          <w:rFonts w:hint="eastAsia" w:ascii="仿宋" w:hAnsi="仿宋" w:eastAsia="仿宋" w:cs="仿宋"/>
          <w:bCs/>
          <w:sz w:val="28"/>
          <w:szCs w:val="28"/>
          <w:lang w:eastAsia="zh-CN"/>
        </w:rPr>
        <w:t>经计算</w:t>
      </w:r>
      <w:r>
        <w:rPr>
          <w:rFonts w:hint="eastAsia" w:ascii="仿宋" w:hAnsi="仿宋" w:eastAsia="仿宋" w:cs="仿宋"/>
          <w:kern w:val="2"/>
          <w:sz w:val="28"/>
          <w:szCs w:val="28"/>
          <w:lang w:val="en-US" w:eastAsia="zh-CN"/>
        </w:rPr>
        <w:t>通贵乡受益村民</w:t>
      </w:r>
      <w:r>
        <w:rPr>
          <w:rFonts w:hint="eastAsia" w:ascii="仿宋" w:hAnsi="仿宋" w:eastAsia="仿宋" w:cs="仿宋"/>
          <w:bCs/>
          <w:sz w:val="28"/>
          <w:szCs w:val="28"/>
          <w:lang w:eastAsia="zh-CN"/>
        </w:rPr>
        <w:t>满意度为</w:t>
      </w:r>
      <w:r>
        <w:rPr>
          <w:rFonts w:hint="eastAsia" w:ascii="仿宋" w:hAnsi="仿宋" w:eastAsia="仿宋" w:cs="仿宋"/>
          <w:sz w:val="28"/>
          <w:szCs w:val="28"/>
          <w:lang w:eastAsia="zh-CN"/>
        </w:rPr>
        <w:t>75.1%。</w:t>
      </w:r>
    </w:p>
    <w:p>
      <w:pPr>
        <w:keepNext w:val="0"/>
        <w:keepLines w:val="0"/>
        <w:pageBreakBefore w:val="0"/>
        <w:widowControl w:val="0"/>
        <w:kinsoku/>
        <w:wordWrap/>
        <w:overflowPunct/>
        <w:topLinePunct w:val="0"/>
        <w:autoSpaceDE w:val="0"/>
        <w:autoSpaceDN/>
        <w:bidi w:val="0"/>
        <w:adjustRightInd/>
        <w:snapToGrid/>
        <w:spacing w:line="360" w:lineRule="auto"/>
        <w:ind w:firstLine="560"/>
        <w:textAlignment w:val="auto"/>
        <w:rPr>
          <w:rFonts w:hint="eastAsia" w:ascii="仿宋" w:hAnsi="仿宋" w:eastAsia="仿宋" w:cs="仿宋"/>
          <w:sz w:val="28"/>
          <w:szCs w:val="28"/>
          <w:lang w:eastAsia="zh-CN"/>
        </w:rPr>
        <w:sectPr>
          <w:headerReference r:id="rId9" w:type="default"/>
          <w:footerReference r:id="rId10"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总体来看，项目实施后受益</w:t>
      </w:r>
      <w:r>
        <w:rPr>
          <w:rFonts w:hint="eastAsia" w:ascii="仿宋" w:hAnsi="仿宋" w:eastAsia="仿宋" w:cs="仿宋"/>
          <w:sz w:val="28"/>
          <w:szCs w:val="28"/>
          <w:lang w:val="en-US" w:eastAsia="zh-CN"/>
        </w:rPr>
        <w:t>村民</w:t>
      </w:r>
      <w:r>
        <w:rPr>
          <w:rFonts w:hint="eastAsia" w:ascii="仿宋" w:hAnsi="仿宋" w:eastAsia="仿宋" w:cs="仿宋"/>
          <w:sz w:val="28"/>
          <w:szCs w:val="28"/>
          <w:lang w:eastAsia="zh-CN"/>
        </w:rPr>
        <w:t>对项目反馈</w:t>
      </w:r>
      <w:r>
        <w:rPr>
          <w:rFonts w:hint="eastAsia" w:ascii="仿宋" w:hAnsi="仿宋" w:eastAsia="仿宋" w:cs="仿宋"/>
          <w:sz w:val="28"/>
          <w:szCs w:val="28"/>
          <w:lang w:val="en-US" w:eastAsia="zh-CN"/>
        </w:rPr>
        <w:t>为一般</w:t>
      </w:r>
      <w:r>
        <w:rPr>
          <w:rFonts w:hint="eastAsia" w:ascii="仿宋" w:hAnsi="仿宋" w:eastAsia="仿宋" w:cs="仿宋"/>
          <w:sz w:val="28"/>
          <w:szCs w:val="28"/>
          <w:lang w:eastAsia="zh-CN"/>
        </w:rPr>
        <w:t>，与绩效评价小组调查结果基本相符。</w:t>
      </w:r>
    </w:p>
    <w:p>
      <w:pPr>
        <w:pStyle w:val="4"/>
        <w:keepNext w:val="0"/>
        <w:keepLines w:val="0"/>
        <w:pageBreakBefore w:val="0"/>
        <w:widowControl w:val="0"/>
        <w:kinsoku/>
        <w:wordWrap/>
        <w:overflowPunct/>
        <w:topLinePunct w:val="0"/>
        <w:autoSpaceDE/>
        <w:autoSpaceDN/>
        <w:bidi w:val="0"/>
        <w:adjustRightInd/>
        <w:snapToGrid/>
        <w:spacing w:before="0" w:beforeLines="0" w:line="360" w:lineRule="auto"/>
        <w:ind w:firstLine="562"/>
        <w:jc w:val="both"/>
        <w:textAlignment w:val="auto"/>
        <w:rPr>
          <w:rFonts w:hint="eastAsia" w:ascii="仿宋" w:hAnsi="仿宋" w:eastAsia="仿宋" w:cs="仿宋"/>
          <w:sz w:val="28"/>
          <w:szCs w:val="28"/>
          <w:lang w:val="en-US" w:eastAsia="zh-CN"/>
        </w:rPr>
      </w:pPr>
      <w:bookmarkStart w:id="153" w:name="_Toc24624"/>
      <w:r>
        <w:rPr>
          <w:rFonts w:hint="eastAsia" w:ascii="仿宋" w:hAnsi="仿宋" w:eastAsia="仿宋" w:cs="仿宋"/>
          <w:sz w:val="28"/>
          <w:szCs w:val="28"/>
          <w:lang w:val="en-US" w:eastAsia="zh-CN"/>
        </w:rPr>
        <w:t>附件3：访谈</w:t>
      </w:r>
      <w:bookmarkEnd w:id="153"/>
    </w:p>
    <w:p>
      <w:pPr>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lang w:val="en-US" w:eastAsia="zh-CN"/>
        </w:rPr>
      </w:pPr>
      <w:r>
        <w:rPr>
          <w:rFonts w:hint="default"/>
          <w:lang w:val="en-US" w:eastAsia="zh-CN"/>
        </w:rPr>
        <w:drawing>
          <wp:inline distT="0" distB="0" distL="114300" distR="114300">
            <wp:extent cx="5266690" cy="7019925"/>
            <wp:effectExtent l="0" t="0" r="10160" b="9525"/>
            <wp:docPr id="1" name="图片 1" descr="ea6ca91421ee3ca273781f1f2f5265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ea6ca91421ee3ca273781f1f2f5265a"/>
                    <pic:cNvPicPr>
                      <a:picLocks noChangeAspect="true"/>
                    </pic:cNvPicPr>
                  </pic:nvPicPr>
                  <pic:blipFill>
                    <a:blip r:embed="rId12"/>
                    <a:stretch>
                      <a:fillRect/>
                    </a:stretch>
                  </pic:blipFill>
                  <pic:spPr>
                    <a:xfrm>
                      <a:off x="0" y="0"/>
                      <a:ext cx="5266690" cy="701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lang w:val="en-US" w:eastAsia="zh-CN"/>
        </w:rPr>
      </w:pPr>
      <w:r>
        <w:rPr>
          <w:rFonts w:hint="default"/>
          <w:lang w:val="en-US" w:eastAsia="zh-CN"/>
        </w:rPr>
        <w:drawing>
          <wp:inline distT="0" distB="0" distL="114300" distR="114300">
            <wp:extent cx="8709660" cy="5283835"/>
            <wp:effectExtent l="0" t="0" r="12065" b="15240"/>
            <wp:docPr id="2" name="图片 2" descr="f4f8efad1dd17ed16edb8db687b78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4f8efad1dd17ed16edb8db687b7832"/>
                    <pic:cNvPicPr>
                      <a:picLocks noChangeAspect="true"/>
                    </pic:cNvPicPr>
                  </pic:nvPicPr>
                  <pic:blipFill>
                    <a:blip r:embed="rId13"/>
                    <a:stretch>
                      <a:fillRect/>
                    </a:stretch>
                  </pic:blipFill>
                  <pic:spPr>
                    <a:xfrm rot="16200000">
                      <a:off x="0" y="0"/>
                      <a:ext cx="8709660" cy="5283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hint="default"/>
          <w:lang w:val="en-US" w:eastAsia="zh-CN"/>
        </w:rPr>
      </w:pPr>
      <w:r>
        <w:rPr>
          <w:rFonts w:hint="default"/>
          <w:lang w:val="en-US" w:eastAsia="zh-CN"/>
        </w:rPr>
        <w:drawing>
          <wp:inline distT="0" distB="0" distL="114300" distR="114300">
            <wp:extent cx="8857615" cy="5292090"/>
            <wp:effectExtent l="0" t="0" r="3810" b="635"/>
            <wp:docPr id="3" name="图片 3" descr="f2d5cf60db5edcc94b40400c752e6c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f2d5cf60db5edcc94b40400c752e6c1"/>
                    <pic:cNvPicPr>
                      <a:picLocks noChangeAspect="true"/>
                    </pic:cNvPicPr>
                  </pic:nvPicPr>
                  <pic:blipFill>
                    <a:blip r:embed="rId14"/>
                    <a:stretch>
                      <a:fillRect/>
                    </a:stretch>
                  </pic:blipFill>
                  <pic:spPr>
                    <a:xfrm rot="16200000">
                      <a:off x="0" y="0"/>
                      <a:ext cx="8857615" cy="529209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before="0" w:beforeLines="0" w:line="360" w:lineRule="auto"/>
        <w:ind w:firstLine="562"/>
        <w:jc w:val="both"/>
        <w:textAlignment w:val="auto"/>
        <w:rPr>
          <w:rFonts w:hint="default" w:ascii="仿宋" w:hAnsi="仿宋" w:eastAsia="仿宋" w:cs="仿宋"/>
          <w:sz w:val="28"/>
          <w:szCs w:val="28"/>
          <w:lang w:val="en-US" w:eastAsia="zh-CN"/>
        </w:rPr>
      </w:pPr>
      <w:bookmarkStart w:id="154" w:name="_Toc4558"/>
      <w:bookmarkStart w:id="155" w:name="_Toc11527"/>
      <w:r>
        <w:rPr>
          <w:rFonts w:hint="eastAsia" w:ascii="仿宋" w:hAnsi="仿宋" w:eastAsia="仿宋" w:cs="仿宋"/>
          <w:sz w:val="28"/>
          <w:szCs w:val="28"/>
          <w:lang w:val="en-US" w:eastAsia="zh-CN"/>
        </w:rPr>
        <w:t>附件4：</w:t>
      </w:r>
      <w:bookmarkEnd w:id="154"/>
      <w:r>
        <w:rPr>
          <w:rFonts w:hint="eastAsia" w:ascii="仿宋" w:hAnsi="仿宋" w:eastAsia="仿宋" w:cs="仿宋"/>
          <w:sz w:val="28"/>
          <w:szCs w:val="28"/>
          <w:lang w:val="en-US" w:eastAsia="zh-CN"/>
        </w:rPr>
        <w:t>现场照片</w:t>
      </w:r>
      <w:bookmarkEnd w:id="155"/>
    </w:p>
    <w:p>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lang w:val="en-US" w:eastAsia="zh-CN"/>
        </w:rPr>
      </w:pPr>
      <w:r>
        <w:rPr>
          <w:rFonts w:hint="default"/>
          <w:lang w:val="en-US" w:eastAsia="zh-CN"/>
        </w:rPr>
        <w:drawing>
          <wp:inline distT="0" distB="0" distL="114300" distR="114300">
            <wp:extent cx="5266690" cy="7855585"/>
            <wp:effectExtent l="0" t="0" r="10160" b="12065"/>
            <wp:docPr id="4" name="图片 4" descr="56349f7b77e729ccf644420f8b0a1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56349f7b77e729ccf644420f8b0a119"/>
                    <pic:cNvPicPr>
                      <a:picLocks noChangeAspect="true"/>
                    </pic:cNvPicPr>
                  </pic:nvPicPr>
                  <pic:blipFill>
                    <a:blip r:embed="rId15"/>
                    <a:stretch>
                      <a:fillRect/>
                    </a:stretch>
                  </pic:blipFill>
                  <pic:spPr>
                    <a:xfrm>
                      <a:off x="0" y="0"/>
                      <a:ext cx="5266690" cy="7855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lang w:val="en-US" w:eastAsia="zh-CN"/>
        </w:rPr>
      </w:pPr>
      <w:r>
        <w:rPr>
          <w:rFonts w:hint="default"/>
          <w:lang w:val="en-US" w:eastAsia="zh-CN"/>
        </w:rPr>
        <w:drawing>
          <wp:inline distT="0" distB="0" distL="114300" distR="114300">
            <wp:extent cx="5266690" cy="8538210"/>
            <wp:effectExtent l="0" t="0" r="10160" b="15240"/>
            <wp:docPr id="5" name="图片 5" descr="d7fb3e28bd006ad33fb0fdf4d95c6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7fb3e28bd006ad33fb0fdf4d95c6bb"/>
                    <pic:cNvPicPr>
                      <a:picLocks noChangeAspect="true"/>
                    </pic:cNvPicPr>
                  </pic:nvPicPr>
                  <pic:blipFill>
                    <a:blip r:embed="rId16"/>
                    <a:stretch>
                      <a:fillRect/>
                    </a:stretch>
                  </pic:blipFill>
                  <pic:spPr>
                    <a:xfrm>
                      <a:off x="0" y="0"/>
                      <a:ext cx="5266690" cy="8538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lang w:val="en-US" w:eastAsia="zh-CN"/>
        </w:rPr>
      </w:pPr>
      <w:r>
        <w:rPr>
          <w:rFonts w:hint="default"/>
          <w:lang w:val="en-US" w:eastAsia="zh-CN"/>
        </w:rPr>
        <w:drawing>
          <wp:inline distT="0" distB="0" distL="114300" distR="114300">
            <wp:extent cx="5266690" cy="8752840"/>
            <wp:effectExtent l="0" t="0" r="10160" b="10160"/>
            <wp:docPr id="6" name="图片 6" descr="5ccb95fba27aeec366d0c475a6545c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5ccb95fba27aeec366d0c475a6545ce"/>
                    <pic:cNvPicPr>
                      <a:picLocks noChangeAspect="true"/>
                    </pic:cNvPicPr>
                  </pic:nvPicPr>
                  <pic:blipFill>
                    <a:blip r:embed="rId17"/>
                    <a:stretch>
                      <a:fillRect/>
                    </a:stretch>
                  </pic:blipFill>
                  <pic:spPr>
                    <a:xfrm>
                      <a:off x="0" y="0"/>
                      <a:ext cx="5266690" cy="8752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lang w:val="en-US" w:eastAsia="zh-CN"/>
        </w:rPr>
      </w:pPr>
      <w:r>
        <w:rPr>
          <w:rFonts w:hint="default"/>
          <w:lang w:val="en-US" w:eastAsia="zh-CN"/>
        </w:rPr>
        <w:drawing>
          <wp:inline distT="0" distB="0" distL="114300" distR="114300">
            <wp:extent cx="5266690" cy="8449945"/>
            <wp:effectExtent l="0" t="0" r="10160" b="8255"/>
            <wp:docPr id="7" name="图片 7" descr="a98dc7eaf36d8f0446dd64c5c30bea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a98dc7eaf36d8f0446dd64c5c30beae"/>
                    <pic:cNvPicPr>
                      <a:picLocks noChangeAspect="true"/>
                    </pic:cNvPicPr>
                  </pic:nvPicPr>
                  <pic:blipFill>
                    <a:blip r:embed="rId18"/>
                    <a:stretch>
                      <a:fillRect/>
                    </a:stretch>
                  </pic:blipFill>
                  <pic:spPr>
                    <a:xfrm>
                      <a:off x="0" y="0"/>
                      <a:ext cx="5266690" cy="84499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Nimbus Roman No9 L"/>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725"/>
        <w:tab w:val="clear" w:pos="4153"/>
        <w:tab w:val="clear" w:pos="8306"/>
      </w:tabs>
      <w:spacing w:before="120" w:after="12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725"/>
        <w:tab w:val="clear" w:pos="4153"/>
        <w:tab w:val="clear" w:pos="8306"/>
      </w:tabs>
      <w:spacing w:before="120" w:after="12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725"/>
        <w:tab w:val="clear" w:pos="4153"/>
        <w:tab w:val="clear" w:pos="8306"/>
      </w:tabs>
      <w:spacing w:before="120" w:after="1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BWFWiqIQIAADcEAAAOAAAAAAAAAAEAIAAAADUBAABkcnMvZTJvRG9jLnht&#10;bFBLBQYAAAAABgAGAFkBAADI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19</w:t>
                    </w:r>
                    <w:r>
                      <w:fldChar w:fldCharType="end"/>
                    </w:r>
                  </w:p>
                </w:txbxContent>
              </v:textbox>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725"/>
        <w:tab w:val="clear" w:pos="4153"/>
        <w:tab w:val="clear" w:pos="8306"/>
      </w:tabs>
      <w:spacing w:before="120" w:after="1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u20HQIAACs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c0OJZgozOn39cvr24/T9&#10;M8EbAGqtn8FvY+EZutemK2hwezGYPN5j613lVLzRFIEL0D5eEBZdIByP4+lkOs1h4rANClJk1+/W&#10;+fBGGEWiUFCHESZk2WHtw9l1cInZtFk1UqYxSk3agt6+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Tm7bQdAgAAKwQAAA4AAAAAAAAAAQAgAAAANQ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pPr>
        <w:pStyle w:val="13"/>
        <w:rPr>
          <w:lang w:eastAsia="zh-CN"/>
        </w:rPr>
      </w:pPr>
      <w:r>
        <w:rPr>
          <w:rFonts w:hint="eastAsia" w:ascii="仿宋" w:hAnsi="仿宋" w:eastAsia="仿宋" w:cs="仿宋"/>
          <w:sz w:val="28"/>
          <w:szCs w:val="28"/>
          <w:lang w:eastAsia="zh-CN"/>
        </w:rPr>
        <w:t>满意度=（非常满意总数量/问卷调查总数量*100+比较满意总数量/问卷调查总数量*80+一般总数量/问卷调查总数量*60+不太满意总数量/问卷调查总数量*0）*100%。</w:t>
      </w:r>
      <w:r>
        <w:rPr>
          <w:rFonts w:hint="eastAsia" w:ascii="仿宋" w:hAnsi="仿宋" w:eastAsia="仿宋" w:cs="仿宋"/>
          <w:sz w:val="28"/>
          <w:szCs w:val="28"/>
          <w:lang w:eastAsia="zh-CN"/>
        </w:rPr>
        <w:br w:type="textWrapp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20BC6C"/>
    <w:multiLevelType w:val="singleLevel"/>
    <w:tmpl w:val="5720BC6C"/>
    <w:lvl w:ilvl="0" w:tentative="0">
      <w:start w:val="1"/>
      <w:numFmt w:val="chineseCounting"/>
      <w:suff w:val="nothing"/>
      <w:lvlText w:val="%1、"/>
      <w:lvlJc w:val="left"/>
      <w:rPr>
        <w:rFonts w:hint="eastAsia"/>
      </w:rPr>
    </w:lvl>
  </w:abstractNum>
  <w:abstractNum w:abstractNumId="1">
    <w:nsid w:val="7F5D83B6"/>
    <w:multiLevelType w:val="singleLevel"/>
    <w:tmpl w:val="7F5D83B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5NDYwMzNlYTJiNjI2YjA3ZTJhYmYxNjZmZGQyOTMifQ=="/>
    <w:docVar w:name="KSO_WPS_MARK_KEY" w:val="319d1c45-8b80-476c-a050-423eada0bf1d"/>
  </w:docVars>
  <w:rsids>
    <w:rsidRoot w:val="00000000"/>
    <w:rsid w:val="001D2D95"/>
    <w:rsid w:val="05987CB0"/>
    <w:rsid w:val="0BD06B3A"/>
    <w:rsid w:val="0DB842BC"/>
    <w:rsid w:val="102D5737"/>
    <w:rsid w:val="10800C60"/>
    <w:rsid w:val="147F0BE8"/>
    <w:rsid w:val="1DFB2EB8"/>
    <w:rsid w:val="20B30AAD"/>
    <w:rsid w:val="229A0B09"/>
    <w:rsid w:val="3103547C"/>
    <w:rsid w:val="3502707F"/>
    <w:rsid w:val="35205700"/>
    <w:rsid w:val="442A0676"/>
    <w:rsid w:val="451A1056"/>
    <w:rsid w:val="47384163"/>
    <w:rsid w:val="49BF3402"/>
    <w:rsid w:val="4AFF633D"/>
    <w:rsid w:val="4B7027F1"/>
    <w:rsid w:val="4B733C82"/>
    <w:rsid w:val="4C3C1903"/>
    <w:rsid w:val="4DCD3408"/>
    <w:rsid w:val="4F576F76"/>
    <w:rsid w:val="50E85BC6"/>
    <w:rsid w:val="52CE60AD"/>
    <w:rsid w:val="552F1B91"/>
    <w:rsid w:val="55B4237C"/>
    <w:rsid w:val="5F49114F"/>
    <w:rsid w:val="62163632"/>
    <w:rsid w:val="64E6006F"/>
    <w:rsid w:val="6B1B772C"/>
    <w:rsid w:val="6D707B1D"/>
    <w:rsid w:val="70B52AE8"/>
    <w:rsid w:val="71FB649C"/>
    <w:rsid w:val="76B519D9"/>
    <w:rsid w:val="787C2B72"/>
    <w:rsid w:val="7AB71DFD"/>
    <w:rsid w:val="BBFB328D"/>
    <w:rsid w:val="BDFFB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Calibri" w:hAnsi="Calibri" w:eastAsia="宋体" w:cs="Times New Roman"/>
      <w:sz w:val="22"/>
      <w:szCs w:val="22"/>
      <w:lang w:val="en-US" w:eastAsia="en-US" w:bidi="ar-SA"/>
    </w:rPr>
  </w:style>
  <w:style w:type="paragraph" w:styleId="3">
    <w:name w:val="heading 1"/>
    <w:basedOn w:val="1"/>
    <w:next w:val="1"/>
    <w:qFormat/>
    <w:uiPriority w:val="9"/>
    <w:pPr>
      <w:keepNext/>
      <w:keepLines/>
      <w:widowControl/>
      <w:spacing w:beforeLines="0" w:after="330" w:line="576" w:lineRule="auto"/>
      <w:ind w:firstLine="0" w:firstLineChars="0"/>
      <w:jc w:val="left"/>
      <w:outlineLvl w:val="0"/>
    </w:pPr>
    <w:rPr>
      <w:rFonts w:ascii="Calibri" w:eastAsia="宋体" w:cs="Times New Roman"/>
      <w:b/>
      <w:bCs/>
      <w:kern w:val="44"/>
      <w:sz w:val="44"/>
      <w:szCs w:val="44"/>
      <w:lang w:eastAsia="en-US"/>
    </w:rPr>
  </w:style>
  <w:style w:type="paragraph" w:styleId="4">
    <w:name w:val="heading 2"/>
    <w:basedOn w:val="1"/>
    <w:next w:val="1"/>
    <w:link w:val="17"/>
    <w:qFormat/>
    <w:uiPriority w:val="9"/>
    <w:pPr>
      <w:spacing w:before="200" w:after="0"/>
      <w:outlineLvl w:val="1"/>
    </w:pPr>
    <w:rPr>
      <w:rFonts w:ascii="Cambria" w:hAnsi="Cambria"/>
      <w:b/>
      <w:bCs/>
      <w:sz w:val="26"/>
      <w:szCs w:val="26"/>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Indent"/>
    <w:basedOn w:val="1"/>
    <w:next w:val="7"/>
    <w:unhideWhenUsed/>
    <w:qFormat/>
    <w:uiPriority w:val="99"/>
    <w:pPr>
      <w:ind w:firstLine="645"/>
    </w:pPr>
    <w:rPr>
      <w:rFonts w:hint="default" w:ascii="Arial" w:hAnsi="Arial" w:eastAsia="仿宋_GB2312"/>
      <w:sz w:val="28"/>
    </w:rPr>
  </w:style>
  <w:style w:type="paragraph" w:styleId="7">
    <w:name w:val="Body Text First Indent 2"/>
    <w:basedOn w:val="6"/>
    <w:next w:val="8"/>
    <w:unhideWhenUsed/>
    <w:qFormat/>
    <w:uiPriority w:val="99"/>
    <w:pPr>
      <w:ind w:firstLine="420"/>
    </w:pPr>
  </w:style>
  <w:style w:type="paragraph" w:styleId="8">
    <w:name w:val="header"/>
    <w:basedOn w:val="1"/>
    <w:qFormat/>
    <w:uiPriority w:val="0"/>
    <w:pPr>
      <w:tabs>
        <w:tab w:val="center" w:pos="4153"/>
        <w:tab w:val="right" w:pos="8306"/>
      </w:tabs>
      <w:snapToGrid w:val="0"/>
      <w:jc w:val="center"/>
    </w:pPr>
    <w:rPr>
      <w:rFonts w:ascii="Times New Roman" w:hAnsi="Times New Roman"/>
      <w:sz w:val="18"/>
      <w:szCs w:val="18"/>
    </w:rPr>
  </w:style>
  <w:style w:type="paragraph" w:styleId="9">
    <w:name w:val="toc 3"/>
    <w:basedOn w:val="1"/>
    <w:next w:val="1"/>
    <w:qFormat/>
    <w:uiPriority w:val="0"/>
    <w:pPr>
      <w:ind w:left="840" w:leftChars="400"/>
    </w:pPr>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99"/>
    <w:pPr>
      <w:tabs>
        <w:tab w:val="center" w:pos="4153"/>
        <w:tab w:val="right" w:pos="8306"/>
      </w:tabs>
      <w:snapToGrid w:val="0"/>
    </w:pPr>
    <w:rPr>
      <w:rFonts w:ascii="Times New Roman" w:hAnsi="Times New Roman"/>
      <w:sz w:val="18"/>
      <w:szCs w:val="18"/>
    </w:rPr>
  </w:style>
  <w:style w:type="paragraph" w:styleId="12">
    <w:name w:val="toc 1"/>
    <w:basedOn w:val="1"/>
    <w:next w:val="1"/>
    <w:unhideWhenUsed/>
    <w:qFormat/>
    <w:uiPriority w:val="39"/>
    <w:pPr>
      <w:tabs>
        <w:tab w:val="right" w:leader="dot" w:pos="8302"/>
      </w:tabs>
      <w:spacing w:beforeLines="0" w:line="560" w:lineRule="exact"/>
      <w:ind w:firstLine="0" w:firstLineChars="0"/>
    </w:pPr>
    <w:rPr>
      <w:rFonts w:ascii="黑体" w:hAnsi="黑体" w:eastAsia="黑体"/>
      <w:b/>
      <w:bCs/>
    </w:rPr>
  </w:style>
  <w:style w:type="paragraph" w:styleId="13">
    <w:name w:val="footnote text"/>
    <w:basedOn w:val="1"/>
    <w:qFormat/>
    <w:uiPriority w:val="0"/>
    <w:pPr>
      <w:snapToGrid w:val="0"/>
    </w:pPr>
    <w:rPr>
      <w:sz w:val="18"/>
    </w:rPr>
  </w:style>
  <w:style w:type="paragraph" w:styleId="14">
    <w:name w:val="toc 2"/>
    <w:basedOn w:val="1"/>
    <w:next w:val="1"/>
    <w:unhideWhenUsed/>
    <w:qFormat/>
    <w:uiPriority w:val="39"/>
    <w:pPr>
      <w:tabs>
        <w:tab w:val="right" w:leader="dot" w:pos="8296"/>
      </w:tabs>
      <w:spacing w:beforeLines="0" w:line="500" w:lineRule="exact"/>
      <w:ind w:firstLine="0" w:firstLineChars="0"/>
    </w:pPr>
    <w:rPr>
      <w:rFonts w:hAnsi="黑体"/>
    </w:rPr>
  </w:style>
  <w:style w:type="character" w:customStyle="1" w:styleId="17">
    <w:name w:val="标题 2 Char"/>
    <w:basedOn w:val="16"/>
    <w:link w:val="4"/>
    <w:qFormat/>
    <w:uiPriority w:val="99"/>
    <w:rPr>
      <w:rFonts w:ascii="Cambria" w:hAnsi="Cambria"/>
      <w:b/>
      <w:bCs/>
      <w:sz w:val="26"/>
      <w:szCs w:val="26"/>
    </w:rPr>
  </w:style>
  <w:style w:type="paragraph" w:customStyle="1" w:styleId="18">
    <w:name w:val="正文 A"/>
    <w:qFormat/>
    <w:uiPriority w:val="99"/>
    <w:pPr>
      <w:widowControl w:val="0"/>
      <w:spacing w:before="50" w:after="50" w:line="360" w:lineRule="auto"/>
    </w:pPr>
    <w:rPr>
      <w:rFonts w:ascii="Times New Roman" w:hAnsi="Arial Unicode MS" w:eastAsia="Arial Unicode MS" w:cs="Arial Unicode MS"/>
      <w:color w:val="000000"/>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12353</Words>
  <Characters>13615</Characters>
  <Lines>0</Lines>
  <Paragraphs>0</Paragraphs>
  <TotalTime>94</TotalTime>
  <ScaleCrop>false</ScaleCrop>
  <LinksUpToDate>false</LinksUpToDate>
  <CharactersWithSpaces>13640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2021-12-24T20:04:00Z</dcterms:created>
  <dc:creator>Adminis</dc:creator>
  <cp:lastModifiedBy>kylin</cp:lastModifiedBy>
  <dcterms:modified xsi:type="dcterms:W3CDTF">2024-12-05T15:29:09Z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6B2B88B1A2AE46ED842838063B64595A</vt:lpwstr>
  </property>
</Properties>
</file>