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  <w:lang w:eastAsia="zh-CN"/>
        </w:rPr>
        <w:t>附件</w:t>
      </w:r>
      <w:r>
        <w:rPr>
          <w:rFonts w:hint="eastAsia" w:eastAsia="仿宋_GB2312"/>
          <w:b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银川市兴庆区大新镇人民政府</w:t>
      </w:r>
      <w:r>
        <w:rPr>
          <w:rFonts w:hint="eastAsia" w:ascii="仿宋_GB2312" w:hAnsi="宋体" w:eastAsia="仿宋_GB2312"/>
          <w:b/>
          <w:kern w:val="0"/>
          <w:sz w:val="36"/>
          <w:szCs w:val="36"/>
        </w:rPr>
        <w:t>202</w:t>
      </w:r>
      <w:r>
        <w:rPr>
          <w:rFonts w:hint="eastAsia" w:ascii="仿宋_GB2312" w:hAnsi="宋体" w:eastAsia="仿宋_GB2312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宋体" w:eastAsia="仿宋_GB2312"/>
          <w:b/>
          <w:kern w:val="0"/>
          <w:sz w:val="36"/>
          <w:szCs w:val="36"/>
        </w:rPr>
        <w:t>年部门预算——预算表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24"/>
        </w:rPr>
      </w:pPr>
    </w:p>
    <w:p>
      <w:pPr>
        <w:widowControl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一、财政拨款收支预算总表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财政拨款收支预算总表</w:t>
      </w: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3"/>
        <w:tblW w:w="131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360"/>
        <w:gridCol w:w="3860"/>
        <w:gridCol w:w="1360"/>
        <w:gridCol w:w="136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794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</w:rPr>
              <w:t>一般公共预算财政拨款支出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</w:rPr>
              <w:t>政府性基金预算财政拨款支出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1825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5284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1825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5284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1825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5284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（一）一般公共预算财政拨款收入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1825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5284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1219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7975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1219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7975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（二）政府性基金预算财政拨款收入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（七）文化旅游体育与传媒支出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432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3058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432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3058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（九）卫生健康支出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71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8043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71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8043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（十四）资源勘探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工业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（十七）自然资源海洋气象等支出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6207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6207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（二十）灾害防治及应急管理支出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（二十一）其他支出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1825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</w:rPr>
              <w:t>5284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4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1825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5284</w:t>
            </w:r>
          </w:p>
        </w:tc>
      </w:tr>
    </w:tbl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黑体" w:hAnsi="宋体" w:eastAsia="黑体"/>
          <w:b/>
          <w:kern w:val="0"/>
          <w:sz w:val="32"/>
          <w:szCs w:val="32"/>
        </w:rPr>
        <w:t>、一般公共预算财政拨款支出表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</w:rPr>
        <w:t>一般公共预算财政拨款支出表</w:t>
      </w:r>
    </w:p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单位：万元</w:t>
      </w:r>
    </w:p>
    <w:tbl>
      <w:tblPr>
        <w:tblStyle w:val="3"/>
        <w:tblW w:w="1351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年执行数（决算数）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年预算数与20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年执行数（决算数）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2010301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1149.6998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4475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5136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9339　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-55.2523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-4.81%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2013904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专项业务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125.35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2080501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行政单位离退休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27.7553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2422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2422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12.4869</w:t>
            </w:r>
            <w:bookmarkStart w:id="0" w:name="_GoBack"/>
            <w:bookmarkEnd w:id="0"/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44.99%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73.4201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3706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3706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-3.0495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-4.15%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2080506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机关事业单位职业年金缴费支出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73.1862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-38.0009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-51.92%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2080799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209.7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6756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6756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27.9756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13.34%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2089999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其他社会保障和就业支出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42.287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8320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0655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7665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6.545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15.48%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46.796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4359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1372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15.7771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2101103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公务员医疗补助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11.0206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-1.7894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-16.24%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2130299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其他林业和草原支出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22.7248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-10.7248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-47.19%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89.0120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5246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0961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0.6087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520" w:lineRule="exact"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  <w:lang w:eastAsia="zh-CN"/>
        </w:rPr>
        <w:t>三</w:t>
      </w:r>
      <w:r>
        <w:rPr>
          <w:rFonts w:hint="eastAsia" w:ascii="黑体" w:hAnsi="宋体" w:eastAsia="黑体"/>
          <w:b/>
          <w:kern w:val="0"/>
          <w:sz w:val="32"/>
          <w:szCs w:val="32"/>
        </w:rPr>
        <w:t>、一般公共预算财政拨款基本支出表</w:t>
      </w:r>
    </w:p>
    <w:p>
      <w:pPr>
        <w:widowControl/>
        <w:spacing w:line="520" w:lineRule="exact"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</w:rPr>
        <w:t>一般公共预算财政拨款基本支出表</w:t>
      </w:r>
    </w:p>
    <w:p>
      <w:pPr>
        <w:widowControl/>
        <w:spacing w:line="520" w:lineRule="exact"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单位：万元</w:t>
      </w:r>
    </w:p>
    <w:tbl>
      <w:tblPr>
        <w:tblStyle w:val="3"/>
        <w:tblpPr w:leftFromText="180" w:rightFromText="180" w:vertAnchor="text" w:tblpY="1"/>
        <w:tblOverlap w:val="never"/>
        <w:tblW w:w="13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1077.5691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965.8869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111.6822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1035.8028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924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1206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6822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206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0664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206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0664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240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9018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240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9018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241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4261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241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4261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6131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6131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70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3706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70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3706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35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1853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35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1853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43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4359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43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4359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2312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2312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0655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0655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30113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63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5246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63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5246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6822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6822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59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5290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59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5290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8450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8450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0132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0132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08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2150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2150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7662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7662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28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9757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28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9757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医疗费补助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2665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2"/>
                <w:szCs w:val="22"/>
              </w:rPr>
              <w:t>2665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个人农业生产补贴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2"/>
                <w:szCs w:val="22"/>
              </w:rPr>
              <w:t>924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2"/>
                <w:szCs w:val="22"/>
              </w:rPr>
              <w:t>924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</w:tbl>
    <w:p>
      <w:pPr>
        <w:widowControl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  <w:lang w:eastAsia="zh-CN"/>
        </w:rPr>
        <w:t>四</w:t>
      </w:r>
      <w:r>
        <w:rPr>
          <w:rFonts w:hint="eastAsia" w:ascii="黑体" w:hAnsi="宋体" w:eastAsia="黑体"/>
          <w:b/>
          <w:kern w:val="0"/>
          <w:sz w:val="32"/>
          <w:szCs w:val="32"/>
        </w:rPr>
        <w:t>、一般公共预算财政拨款“三公”经费支出表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</w:rPr>
        <w:t>一般公共预算财政拨款“三公”经费支出表</w:t>
      </w:r>
    </w:p>
    <w:p>
      <w:pPr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   单位：万元</w:t>
      </w:r>
    </w:p>
    <w:tbl>
      <w:tblPr>
        <w:tblStyle w:val="3"/>
        <w:tblW w:w="1387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预算数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年执行数（决算数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)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3.6619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3.6619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3.6619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/>
          <w:b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宋体" w:eastAsia="黑体"/>
          <w:b/>
          <w:kern w:val="0"/>
          <w:sz w:val="32"/>
          <w:szCs w:val="32"/>
          <w:highlight w:val="none"/>
        </w:rPr>
        <w:t>、政府性基金预算财政拨款支出表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</w:rPr>
        <w:t>政府性基金预算财政拨款支出表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</w:rPr>
        <w:t xml:space="preserve">                                    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单位：万元</w:t>
      </w:r>
    </w:p>
    <w:tbl>
      <w:tblPr>
        <w:tblStyle w:val="3"/>
        <w:tblW w:w="141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功能分类科目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年执行数（决算数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)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年预算数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年预算数与20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年执行数（决算数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科目编码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科目名称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基本支出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项目支出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增减额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增减%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日常公用经费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2290402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其他地方自行试点项目收益专项债券收入安排的支出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416.5046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-416.5046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-100%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lang w:eastAsia="zh-CN"/>
        </w:rPr>
      </w:pPr>
    </w:p>
    <w:p>
      <w:pPr>
        <w:widowControl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lang w:eastAsia="zh-CN"/>
        </w:rPr>
      </w:pPr>
    </w:p>
    <w:p>
      <w:pPr>
        <w:widowControl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lang w:eastAsia="zh-CN"/>
        </w:rPr>
      </w:pPr>
    </w:p>
    <w:p>
      <w:pPr>
        <w:widowControl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lang w:eastAsia="zh-CN"/>
        </w:rPr>
      </w:pPr>
    </w:p>
    <w:p>
      <w:pPr>
        <w:widowControl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/>
          <w:b/>
          <w:kern w:val="0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宋体" w:eastAsia="黑体"/>
          <w:b/>
          <w:kern w:val="0"/>
          <w:sz w:val="32"/>
          <w:szCs w:val="32"/>
          <w:highlight w:val="none"/>
        </w:rPr>
        <w:t>、部门收支预算总表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部门收支预算总表</w:t>
      </w:r>
    </w:p>
    <w:p>
      <w:pPr>
        <w:widowControl/>
        <w:jc w:val="right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单位：万元</w:t>
      </w:r>
    </w:p>
    <w:tbl>
      <w:tblPr>
        <w:tblStyle w:val="3"/>
        <w:tblW w:w="13857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235"/>
        <w:gridCol w:w="1800"/>
        <w:gridCol w:w="5022"/>
        <w:gridCol w:w="180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70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68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5284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一、行政支出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5284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其中：财政拨款支出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非同级财政拨款支出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其中：非同级财政拨款（科研及辅助活动）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其中：财政拨款支出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纳入财政专户管理的非税收入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非同级财政拨款支出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三、上级补助预算收入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三、经营支出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四、附属单位上缴预算收入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四、上缴上级支出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五、经营预算收入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五、对附属单位补助支出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六、债务预算收入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六、投资支出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七、非同级财政拨款预算收入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七、债务还本支出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八、投资预算收益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八、其他支出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九、其他预算收入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1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5284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十、上年结转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九、年末结转结余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（2）非财政拨款结转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十一、上年结余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（3）非财政拨款结转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（4）非财政拨款结余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（2）非财政拨款结余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（5）专用结余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（3）专用结余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（6）经营结余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（4）经营结余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5284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5284</w:t>
            </w:r>
          </w:p>
        </w:tc>
      </w:tr>
    </w:tbl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</w:t>
      </w: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ascii="黑体" w:hAnsi="宋体" w:eastAsia="黑体"/>
          <w:b/>
          <w:bCs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/>
          <w:b/>
          <w:bCs/>
          <w:kern w:val="0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宋体" w:eastAsia="黑体"/>
          <w:b/>
          <w:bCs/>
          <w:kern w:val="0"/>
          <w:sz w:val="32"/>
          <w:szCs w:val="32"/>
          <w:highlight w:val="none"/>
        </w:rPr>
        <w:t>、部门收入总表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</w:rPr>
        <w:t>部门收入总表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单位：万元</w:t>
      </w:r>
    </w:p>
    <w:tbl>
      <w:tblPr>
        <w:tblStyle w:val="3"/>
        <w:tblW w:w="1389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5"/>
        <w:gridCol w:w="839"/>
        <w:gridCol w:w="839"/>
        <w:gridCol w:w="839"/>
        <w:gridCol w:w="839"/>
        <w:gridCol w:w="860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财政拨款预算收入</w:t>
            </w: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事业预算收入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上级补助预算收入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附属单位上缴预算收入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经营预算收入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债务预算收入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非同级财政拨款预算收入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投资预算收益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其他预算收入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一般公共预算财政拨款收入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政府性基金预算财政拨款收入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6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其中：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非本级财政拨款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本级横向财政拨款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非同级财政拨款（科研及辅助活动）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纳入财政专户管理的非税收入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9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44"/>
              </w:tabs>
              <w:ind w:right="132" w:rightChars="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ind w:firstLine="627" w:firstLineChars="196"/>
        <w:jc w:val="left"/>
        <w:outlineLvl w:val="1"/>
        <w:rPr>
          <w:rFonts w:hint="eastAsia" w:ascii="黑体" w:hAnsi="宋体" w:eastAsia="黑体"/>
          <w:b/>
          <w:bCs/>
          <w:kern w:val="0"/>
          <w:sz w:val="32"/>
          <w:szCs w:val="32"/>
          <w:highlight w:val="none"/>
          <w:lang w:eastAsia="zh-CN"/>
        </w:rPr>
      </w:pPr>
    </w:p>
    <w:p>
      <w:pPr>
        <w:widowControl/>
        <w:numPr>
          <w:ilvl w:val="0"/>
          <w:numId w:val="1"/>
        </w:numPr>
        <w:ind w:firstLine="627" w:firstLineChars="196"/>
        <w:jc w:val="left"/>
        <w:outlineLvl w:val="1"/>
        <w:rPr>
          <w:rFonts w:hint="eastAsia" w:ascii="黑体" w:hAnsi="宋体" w:eastAsia="黑体"/>
          <w:b/>
          <w:bCs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/>
          <w:b/>
          <w:bCs/>
          <w:kern w:val="0"/>
          <w:sz w:val="32"/>
          <w:szCs w:val="32"/>
          <w:highlight w:val="none"/>
        </w:rPr>
        <w:t>部门支出总表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</w:rPr>
        <w:t>部门支出总表</w:t>
      </w:r>
    </w:p>
    <w:tbl>
      <w:tblPr>
        <w:tblStyle w:val="3"/>
        <w:tblpPr w:leftFromText="180" w:rightFromText="180" w:vertAnchor="text" w:horzAnchor="page" w:tblpX="1596" w:tblpY="629"/>
        <w:tblOverlap w:val="never"/>
        <w:tblW w:w="13857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643"/>
        <w:gridCol w:w="1214"/>
        <w:gridCol w:w="1286"/>
        <w:gridCol w:w="1124"/>
        <w:gridCol w:w="1776"/>
        <w:gridCol w:w="2214"/>
        <w:gridCol w:w="1529"/>
        <w:gridCol w:w="1671"/>
        <w:gridCol w:w="140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行政支出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事业支出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对附属单位补助支出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投资支出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债务还本支出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其他支出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2422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2422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3706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3706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6756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6756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5731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5731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2312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2312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6207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6207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numPr>
          <w:numId w:val="0"/>
        </w:numPr>
        <w:jc w:val="left"/>
        <w:outlineLvl w:val="1"/>
        <w:rPr>
          <w:rFonts w:hint="eastAsia" w:ascii="黑体" w:hAnsi="宋体" w:eastAsia="黑体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单位：万元  </w:t>
      </w:r>
    </w:p>
    <w:p>
      <w:pPr>
        <w:rPr>
          <w:rFonts w:hint="eastAsia"/>
          <w:szCs w:val="21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</w:t>
      </w:r>
    </w:p>
    <w:p>
      <w:p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widowControl/>
        <w:ind w:firstLine="643" w:firstLineChars="200"/>
        <w:jc w:val="left"/>
        <w:outlineLvl w:val="1"/>
        <w:rPr>
          <w:rFonts w:hint="eastAsia" w:ascii="黑体" w:hAnsi="宋体" w:eastAsia="黑体"/>
          <w:b/>
          <w:bCs/>
          <w:kern w:val="0"/>
          <w:sz w:val="32"/>
          <w:szCs w:val="32"/>
          <w:highlight w:val="none"/>
          <w:lang w:eastAsia="zh-CN"/>
        </w:rPr>
      </w:pPr>
    </w:p>
    <w:p>
      <w:pPr>
        <w:widowControl/>
        <w:jc w:val="left"/>
        <w:outlineLvl w:val="1"/>
        <w:rPr>
          <w:rFonts w:hint="eastAsia" w:ascii="黑体" w:hAnsi="宋体" w:eastAsia="黑体"/>
          <w:bCs/>
          <w:kern w:val="0"/>
          <w:sz w:val="32"/>
          <w:szCs w:val="32"/>
        </w:rPr>
      </w:pPr>
      <w:r>
        <w:rPr>
          <w:rFonts w:hint="eastAsia" w:ascii="黑体" w:hAnsi="宋体" w:eastAsia="黑体"/>
          <w:bCs/>
          <w:kern w:val="0"/>
          <w:sz w:val="32"/>
          <w:szCs w:val="32"/>
        </w:rPr>
        <w:t>九、部门项目支出预算年度绩效指标申报表</w:t>
      </w:r>
    </w:p>
    <w:p>
      <w:pPr>
        <w:widowControl/>
        <w:ind w:firstLine="640" w:firstLineChars="200"/>
        <w:jc w:val="left"/>
        <w:outlineLvl w:val="1"/>
        <w:rPr>
          <w:rFonts w:hint="eastAsia" w:ascii="黑体" w:hAnsi="宋体" w:eastAsia="黑体"/>
          <w:bCs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</w:rPr>
        <w:t>部门项目支出预算年度绩效指标申报表</w:t>
      </w:r>
    </w:p>
    <w:tbl>
      <w:tblPr>
        <w:tblStyle w:val="3"/>
        <w:tblW w:w="82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841"/>
        <w:gridCol w:w="1883"/>
        <w:gridCol w:w="1191"/>
        <w:gridCol w:w="1511"/>
        <w:gridCol w:w="1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社区运转经费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兴庆区大新镇人民政府本级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兴庆区大新镇人民政府本级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特定类项目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一年期项目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其中：财政拨款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其他资金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用于支付大新镇社区日常办公用品及开展活动购买物品费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（必填硬性指标）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大新镇社区各类节日活动组织开展不少于3次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&gt;3次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支付率达到100%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及时支付，做到实报实销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（必填硬性指标）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开展活动成本做到有价可寻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指标（选填）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社会维稳，促进经济增长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=显著提高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社区对开展各类宣传活动知晓率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=显著提高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指标（选填）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日常办公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使用再生纸张、环保油墨比率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日常办公用品可持续利用时效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≥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供货主体满意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&gt;90%</w:t>
            </w:r>
          </w:p>
        </w:tc>
      </w:tr>
    </w:tbl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</w:rPr>
        <w:t>部门项目支出预算年度绩效指标申报表</w:t>
      </w:r>
    </w:p>
    <w:tbl>
      <w:tblPr>
        <w:tblStyle w:val="3"/>
        <w:tblW w:w="82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841"/>
        <w:gridCol w:w="1883"/>
        <w:gridCol w:w="1191"/>
        <w:gridCol w:w="1511"/>
        <w:gridCol w:w="1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社区党建经费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兴庆区大新镇人民政府本级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兴庆区大新镇人民政府本级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特定类项目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一年期项目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32.35万元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其中：财政拨款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32.35万元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其他资金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用于支付大新镇社区党建项目引领购买党建活动物品、办公用品等费用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（必填硬性指标）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大新镇党建项目活动组织开展不少于2次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&gt;2次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党建项目活动开展完成率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及时支付，做到实报实销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（必填硬性指标）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编印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党建项目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宣传海报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、广告等成本询价企业不少于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3家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&gt;3家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指标（选填）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社会维稳，促进经济增长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=显著提高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党建项目宣传引领效果明显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=显著提高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指标（选填）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宣传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品使用再生纸张、环保油墨比率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宣传品文稿可持续利用时效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≥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群众对宣传内容满意度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≥ 90%</w:t>
            </w:r>
          </w:p>
        </w:tc>
      </w:tr>
    </w:tbl>
    <w:p>
      <w:pPr>
        <w:widowControl/>
        <w:ind w:firstLine="1084" w:firstLineChars="300"/>
        <w:jc w:val="left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</w:p>
    <w:p>
      <w:pPr>
        <w:widowControl/>
        <w:ind w:firstLine="1084" w:firstLineChars="300"/>
        <w:jc w:val="left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</w:p>
    <w:p>
      <w:pPr>
        <w:widowControl/>
        <w:ind w:firstLine="1084" w:firstLineChars="300"/>
        <w:jc w:val="left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</w:rPr>
        <w:t>部门项目支出预算年度绩效指标申报表</w:t>
      </w:r>
    </w:p>
    <w:tbl>
      <w:tblPr>
        <w:tblStyle w:val="3"/>
        <w:tblW w:w="82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841"/>
        <w:gridCol w:w="1883"/>
        <w:gridCol w:w="1191"/>
        <w:gridCol w:w="1511"/>
        <w:gridCol w:w="1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村级运转及乡村治理经费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兴庆区大新镇人民政府本级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兴庆区大新镇人民政府本级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特定类项目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一年期项目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48万元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其中：财政拨款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48万元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其他资金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用于支付大新镇村级日常工作经费及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拨付大新镇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6个村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乡村治理工作经费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（必填硬性指标）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大新镇村级各类节日活动组织开展不少于3次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&gt;3次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活动开展宣传完成率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及时支付，做到实报实销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及支付率达到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（必填硬性指标）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开展活动成本做到有价可寻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，询价企业不少于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3家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&gt;3家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指标（选填）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社会维稳，促进经济增长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=显著提高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群众对农村乡村治理工作知晓率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=明显上升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指标（选填）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日常办公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使用再生纸张、环保油墨比率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日常办公用品可持续利用时效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≥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村民对乡村治理成效满意度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&gt;90%</w:t>
            </w:r>
          </w:p>
        </w:tc>
      </w:tr>
    </w:tbl>
    <w:p>
      <w:pPr>
        <w:widowControl/>
        <w:ind w:firstLine="1084" w:firstLineChars="300"/>
        <w:jc w:val="left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</w:p>
    <w:p>
      <w:pPr>
        <w:widowControl/>
        <w:ind w:firstLine="1084" w:firstLineChars="300"/>
        <w:jc w:val="left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</w:rPr>
        <w:t>部门项目支出预算年度绩效指标申报表</w:t>
      </w:r>
    </w:p>
    <w:tbl>
      <w:tblPr>
        <w:tblStyle w:val="3"/>
        <w:tblW w:w="82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841"/>
        <w:gridCol w:w="1883"/>
        <w:gridCol w:w="1191"/>
        <w:gridCol w:w="1511"/>
        <w:gridCol w:w="1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大新镇综合工作经费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兴庆区大新镇人民政府本级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兴庆区大新镇人民政府本级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特定类项目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一年期项目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其中：财政拨款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其他资金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用于支付大新镇日常办公用品及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开展活动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（必填硬性指标）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付大新镇日常办公用品采购不得高于12次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&lt;12次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活动开展宣传完成率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及时支付，做到实报实销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及支付率达到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（必填硬性指标）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开展活动成本做到有价可寻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，询价企业不少于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3家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&gt;3家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指标（选填）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社会维稳，促进经济增长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=显著提高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职工对活动完成率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=明显上升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指标（选填）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日常办公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使用再生纸张、环保油墨比率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日常办公用品可持续利用时效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≥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供货商满意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&gt;90%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</w:rPr>
        <w:t>部门项目支出预算年度绩效指标申报表</w:t>
      </w:r>
    </w:p>
    <w:tbl>
      <w:tblPr>
        <w:tblStyle w:val="3"/>
        <w:tblW w:w="82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841"/>
        <w:gridCol w:w="1883"/>
        <w:gridCol w:w="1191"/>
        <w:gridCol w:w="1511"/>
        <w:gridCol w:w="1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银古路宽幅林带租金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兴庆区大新镇人民政府本级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兴庆区大新镇人民政府本级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特定类项目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一年期项目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其中：财政拨款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其他资金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用于支付大新镇塔桥农户银古宽幅林带租金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（必填硬性指标）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支付塔桥银古宽幅林带租金每年不低于合同价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=严格执行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支付率达到100%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及时支付，做到按照合同金额支付完毕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（必填硬性指标）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按照合同成本做到有价可寻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=严格执行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指标（选填）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社会维稳，促进经济增长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=显著提高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村民对银古宽幅林带租金支付情况知晓率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&gt;90%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指标（选填）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空气污染、水污染等各项指数达到合格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=严格执行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村民对银古宽幅林带租金可持续发放知晓率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=显著提高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满意度指标（必填）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村民对银古宽幅林带租金满意度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&gt;90%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9F3B65"/>
    <w:multiLevelType w:val="singleLevel"/>
    <w:tmpl w:val="F79F3B6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32AB6"/>
    <w:rsid w:val="0765301A"/>
    <w:rsid w:val="29647276"/>
    <w:rsid w:val="2DAB4189"/>
    <w:rsid w:val="2F035980"/>
    <w:rsid w:val="34D745D6"/>
    <w:rsid w:val="3CFB4E8B"/>
    <w:rsid w:val="42F35371"/>
    <w:rsid w:val="4DD80253"/>
    <w:rsid w:val="4EEC506B"/>
    <w:rsid w:val="51DC3F9B"/>
    <w:rsid w:val="5A5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2025-02-07T02:51:18Z</dcterms:created>
  <dc:creator>Administrator</dc:creator>
  <cp:lastModifiedBy>Administrator</cp:lastModifiedBy>
  <dcterms:modified xsi:type="dcterms:W3CDTF">2025-02-07T04:41:31Z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