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绿化达标单位（居住区）”评选标准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凡申报“绿化达标”单位(居住区）的单位，在2006年5月4日前已建成的单位或居住区，绿地率达到25％以上；2006年5月4 日后审批的建设项目(新建单位或居住区)配套绿化绿地率达到30％以上；改建扩建单位或居住区绿地率达到20％以上，绿地管护规范专业、景观效果良好。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ind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银川市“园林式单位（居住区）”评选标准</w:t>
      </w:r>
    </w:p>
    <w:p>
      <w:pPr>
        <w:pStyle w:val="2"/>
        <w:ind w:firstLine="644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必须达到兴庆区“绿化达标单位（居住区）”评选标准才具有评选“园林式单位（居住区）”资格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（一）领导重视，绿化组织机构健全，即成立绿化委员会或者绿化领导小组，设有绿化专（兼）职管理人员。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申报单位的绿化现已具有一定的规模和水平，且在近三年内无绿化违法行为发生，园林设施、建筑或小品适度，绿地功能完善，能突出生态、休闲与观赏等作用，乔、灌、花、草、藤合理配置，常青树、落叶树合理搭配，景观层次分明，物种（树木）丰富多样，绿地管理科学精细，做到三季有花、四季有绿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绿地管理科学、精细，树木、草坪、花卉、苗圃、水体、园林设施等的养护管理均应达到《银川市园林绿化养护管理质量等级标准及技术要点》中规定的一级标准。认真落实绿化门前“三包”责任制(即包栽植、包成活、包管护)，切实履行管护义务。绿化档案资料规范齐全，有专人管理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（四）严格执行“银川市绿色图章”制度，凡申报“园林式”单位(居住区）的单位，指标中2006年5月4日前已建成的单位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或居住区，绿地率达到30％以上；2006年5月4 日后审批的建设项目(新建单位或居住区)配套绿化绿地率达到35％以上；改建扩建单位或居住区绿地率达到25％以上。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凡申报“绿化达标”单位(居住区）的单位，在2006年5月4日前已建成的单位或居住区，绿地率达到25％以上；2006年5月4 日后审批的建设项目(新建单位或居住区)配套绿化绿地率达到30％以上；改建扩建单位或居住区绿地率达到20％以上。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凡申报森林单位（社区）必须达到银川市园林式单位(居住区)评选标准。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社区需达到：森林社区绿化覆盖率达到35%以上；形成乔、灌、草、花合理搭配，营造丰富绿化景观，林木树冠覆盖率15--30%以上；乡土乔木树种使用率80%以上，林木树冠覆盖率15--30%以上，房前7米内少有种植树冠浓郁乔木树种；社区内有1处集中休闲绿地，设置休闲、健身、宣教等设施，社区广场必须建设成为林荫广场，以提高居民生态福利；科学合理管理绿地，尽量实现绿地有机覆盖。森林单位需达到：绿化覆盖率40%以上；乡土乔木树种使用率85%以上，乔木树冠覆盖率15--30%以上；对于临街、具备条件的单位需实行拆墙透绿，使内部单位绿地向公众开放，提高绿地利用率。</w:t>
      </w:r>
    </w:p>
    <w:p>
      <w:pPr>
        <w:tabs>
          <w:tab w:val="left" w:pos="987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以上标准只限于单位附属绿地、居住区绿地，公园、游园、风景区不在评选范围。</w:t>
      </w:r>
    </w:p>
    <w:p>
      <w:pPr>
        <w:pStyle w:val="2"/>
        <w:ind w:firstLine="0" w:firstLineChars="0"/>
      </w:pPr>
    </w:p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70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pStyle w:val="2"/>
        <w:spacing w:line="70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银川市“森林单位（社区）”评选标准</w:t>
      </w:r>
    </w:p>
    <w:p>
      <w:pPr>
        <w:pStyle w:val="2"/>
        <w:ind w:firstLine="645" w:firstLine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必须达到银川市“园林式单位（居住区）”评选标准才具有“森林单位（社区）”评选资格</w:t>
      </w:r>
    </w:p>
    <w:p>
      <w:pPr>
        <w:pStyle w:val="2"/>
        <w:ind w:firstLine="645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一、森林社区需达到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1.森林社区绿化覆盖率达到35%以上；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2.形成乔、灌、草合理搭配，营造丰富绿化景观，林木树冠覆盖率15%-30%以上；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3.乡土乔木树种使用率80%以上，住房窗前7米无体型高大树冠浓郁林木种植；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4.社区内有1处集中休闲绿地，设置休闲、健身、宣教等设施，社区广场必须建设成为林荫广场，以提高居民生态福利；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5.科学合理管理绿地，尽量实现绿地有机覆盖。</w:t>
      </w:r>
    </w:p>
    <w:p>
      <w:pPr>
        <w:pStyle w:val="2"/>
        <w:ind w:firstLine="645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二、森林单位需达到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1.绿化覆盖率40%以上；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2.乡土乔木树种使用率85%以上，乔木树冠覆盖率15%-30%以上；</w:t>
      </w:r>
    </w:p>
    <w:p>
      <w:pPr>
        <w:pStyle w:val="2"/>
        <w:ind w:firstLine="645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3.对于临街、具备条件的单位需实行拆墙补绿，使内部单位绿地向公众开放，提高绿地使用率。</w:t>
      </w:r>
    </w:p>
    <w:p>
      <w:pPr>
        <w:pStyle w:val="2"/>
        <w:ind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附件4：</w:t>
      </w:r>
    </w:p>
    <w:p>
      <w:pPr>
        <w:widowControl/>
        <w:ind w:firstLine="880" w:firstLineChars="200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银川市“森林乡镇”评选标准（试行）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一、乡镇（街道）林木覆盖率达到15％以上，现有林木得到及时抚育。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二、乡镇（街道）建成区绿化覆盖率达到35％以上，乡土树种占绿化树种的70％以上，人均公园绿地面积6平方米以上。 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三、乡镇（街道）范围内的道路、荒（滩）地等绿化率都达85%以上。县（市）区的乡镇（街道）农田林网控制率达到85%以上。 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四、乡镇（街道）建成区内至少建成1处以上较大规模的休闲绿化场所，基本满足居民日常休闲游憩需求。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五、广泛开展绿地认建、认养、认管等多种形式的社会参与绿化活动，并建有各类纪念林基地。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六、认真编制森林乡镇建设总体规划，并纳入乡镇总体规划予以实施。党政主要领导高度重视，宣传工作到位，乡镇居民对创建森林乡镇的支持率和满意度应达到80%以上。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widowControl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附件5：</w:t>
      </w:r>
    </w:p>
    <w:p>
      <w:pPr>
        <w:widowControl/>
        <w:ind w:firstLine="1320" w:firstLineChars="300"/>
        <w:rPr>
          <w:rFonts w:ascii="方正小标宋简体" w:hAnsi="Calibri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黑体"/>
          <w:bCs/>
          <w:kern w:val="0"/>
          <w:sz w:val="44"/>
          <w:szCs w:val="44"/>
        </w:rPr>
        <w:t>银川市“森林村庄”评选标准（试行）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一、行政村林木绿化率达到15％以上，现有林木得到及时抚育。 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二、村庄建成区绿化覆盖率达30%以上，树种搭配合理，并形成一定的生态效应。 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三、行政村范围内的道路、荒（滩）地绿化率达到90%以上，行政村通过道路沟渠林带与村片林建设相配套，构建完整的农田防护林体系，农田林网控制率达到85%以上。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四、利用“四旁”（村旁、路旁、水旁、宅旁） 隙地，大力发展围村林、护路护堤林、庭院林、水口林、游憩林和环村林带等。 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五、村前屋后应做到见缝插绿，因地制宜地发展小果园、小花园等，实现庭院绿化、美化和生态化。每个农户在适宜空地新栽乔木树种10株以上， 或经济林、花灌木5株以上。所栽林木平均成活率在85%以上，并落实林木管护责任，林木抚育管护较好。</w:t>
      </w:r>
    </w:p>
    <w:p>
      <w:pPr>
        <w:pStyle w:val="2"/>
        <w:ind w:firstLine="421"/>
      </w:pPr>
    </w:p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附件6：</w:t>
      </w:r>
    </w:p>
    <w:p>
      <w:pPr>
        <w:widowControl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“林韵酒庄”评选标准（试行）</w:t>
      </w:r>
    </w:p>
    <w:p>
      <w:pPr>
        <w:widowControl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一、酒庄绿化美化应坚持保护优先、绿色发展原则，通过植物配置，小品点缀，立体绿化与美化等措施体现生态特色，实现一庄一品，要因地制宜，避免城市化明显的绿化形式，建设成为生态良好、环境优美、配套方便、自然和谐的靓丽酒庄。</w:t>
      </w:r>
    </w:p>
    <w:p>
      <w:pPr>
        <w:widowControl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二、绿化已具有一定规模和水平，酒庄绿化覆盖率应达到50%以上。</w:t>
      </w:r>
    </w:p>
    <w:p>
      <w:pPr>
        <w:widowControl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三、绿化树种选择应遵循乡土长寿、抗逆耐旱的原则，乡土植物种类比例应在90%以上。</w:t>
      </w:r>
    </w:p>
    <w:p>
      <w:pPr>
        <w:widowControl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四、酒庄周边应建设不小于10米的环庄防护林带，林带应结构合理、林相丰富，注重不同树形色彩丰富，落叶常绿树种搭配，庭院布置宜采用铺装和种植相结合的方式。</w:t>
      </w:r>
    </w:p>
    <w:p>
      <w:pPr>
        <w:widowControl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五、绿地养护应达到《银川市园林绿化养护管理质量等级标准及技术要点》中的二级绿地养护标准，每年应及时浇返青水和封冻水，根据植物生物学特性及时修剪保持良好植物、树木形态及时清除绿地内垃圾杂物保持环境干净整洁，定期检查维修绿地相关设施。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六、酒庄绿化美化应综合考虑生态生产和观光游客的使用需求，营造特色鲜明的绿化美化环境，鼓励营造视觉、味觉、触觉和听觉上全方位的参与性体验，注重整体风貌协调，避免千庄一面，各酒庄开发之间形成共赢互惠、生态良好的良好氛围。</w:t>
      </w: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附件7：</w:t>
      </w:r>
    </w:p>
    <w:p>
      <w:pPr>
        <w:widowControl/>
        <w:jc w:val="center"/>
        <w:rPr>
          <w:rFonts w:ascii="黑体" w:eastAsia="黑体"/>
          <w:spacing w:val="60"/>
          <w:kern w:val="0"/>
          <w:sz w:val="72"/>
          <w:szCs w:val="72"/>
        </w:rPr>
      </w:pPr>
      <w:r>
        <w:rPr>
          <w:rFonts w:hint="eastAsia" w:ascii="黑体" w:eastAsia="黑体"/>
          <w:spacing w:val="60"/>
          <w:kern w:val="0"/>
          <w:sz w:val="72"/>
          <w:szCs w:val="72"/>
        </w:rPr>
        <w:t>银川市“森林乡镇”</w:t>
      </w:r>
    </w:p>
    <w:p>
      <w:pPr>
        <w:widowControl/>
        <w:ind w:firstLine="1440"/>
        <w:jc w:val="center"/>
        <w:rPr>
          <w:rFonts w:ascii="黑体" w:eastAsia="黑体"/>
          <w:kern w:val="0"/>
          <w:sz w:val="72"/>
          <w:szCs w:val="72"/>
        </w:rPr>
      </w:pPr>
    </w:p>
    <w:p>
      <w:pPr>
        <w:widowControl/>
        <w:jc w:val="center"/>
        <w:rPr>
          <w:rFonts w:ascii="黑体" w:eastAsia="黑体"/>
          <w:kern w:val="0"/>
          <w:sz w:val="72"/>
          <w:szCs w:val="72"/>
        </w:rPr>
      </w:pPr>
      <w:r>
        <w:rPr>
          <w:rFonts w:hint="eastAsia" w:ascii="黑体" w:eastAsia="黑体"/>
          <w:kern w:val="0"/>
          <w:sz w:val="72"/>
          <w:szCs w:val="72"/>
        </w:rPr>
        <w:t>申 报 表</w:t>
      </w: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pacing w:line="400" w:lineRule="atLeast"/>
        <w:rPr>
          <w:rFonts w:ascii="宋体" w:hAnsi="宋体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>申报单位：              （盖章）</w:t>
      </w:r>
    </w:p>
    <w:p>
      <w:pPr>
        <w:widowControl/>
        <w:ind w:firstLine="640"/>
        <w:rPr>
          <w:rFonts w:ascii="宋体" w:hAnsi="宋体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 xml:space="preserve">  申报日期：     年    月    日</w:t>
      </w:r>
    </w:p>
    <w:p>
      <w:pPr>
        <w:widowControl/>
        <w:ind w:firstLine="640"/>
        <w:rPr>
          <w:rFonts w:ascii="宋体" w:hAnsi="宋体"/>
          <w:b/>
          <w:bCs/>
          <w:color w:val="000000"/>
          <w:spacing w:val="15"/>
          <w:kern w:val="0"/>
          <w:sz w:val="32"/>
          <w:szCs w:val="32"/>
        </w:rPr>
      </w:pPr>
    </w:p>
    <w:p>
      <w:pPr>
        <w:widowControl/>
        <w:rPr>
          <w:rFonts w:ascii="宋体" w:hAnsi="宋体"/>
          <w:b/>
          <w:bCs/>
          <w:kern w:val="0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077"/>
        <w:gridCol w:w="1758"/>
        <w:gridCol w:w="442"/>
        <w:gridCol w:w="4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0" w:type="dxa"/>
            <w:gridSpan w:val="3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总人口    万人，政府所在地人口   万人</w:t>
            </w:r>
          </w:p>
        </w:tc>
        <w:tc>
          <w:tcPr>
            <w:tcW w:w="2200" w:type="dxa"/>
            <w:gridSpan w:val="2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总面积    平方公里</w:t>
            </w:r>
          </w:p>
        </w:tc>
        <w:tc>
          <w:tcPr>
            <w:tcW w:w="2535" w:type="dxa"/>
            <w:gridSpan w:val="2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林木覆盖率    % 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乡镇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建成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区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人均公共绿地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㎡</w:t>
            </w:r>
          </w:p>
        </w:tc>
        <w:tc>
          <w:tcPr>
            <w:tcW w:w="2835" w:type="dxa"/>
            <w:gridSpan w:val="2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道路绿化率       %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义务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植树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适龄公民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绿化覆盖率      %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荒（滩）地绿化率       %</w:t>
            </w:r>
          </w:p>
        </w:tc>
        <w:tc>
          <w:tcPr>
            <w:tcW w:w="851" w:type="dxa"/>
            <w:gridSpan w:val="2"/>
            <w:vMerge w:val="continue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参加人数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绿地率         %</w:t>
            </w:r>
          </w:p>
        </w:tc>
        <w:tc>
          <w:tcPr>
            <w:tcW w:w="2835" w:type="dxa"/>
            <w:gridSpan w:val="2"/>
            <w:vMerge w:val="continue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尽责率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0" w:hRule="atLeast"/>
        </w:trPr>
        <w:tc>
          <w:tcPr>
            <w:tcW w:w="8755" w:type="dxa"/>
            <w:gridSpan w:val="7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创建工作主要成绩</w:t>
            </w:r>
          </w:p>
        </w:tc>
      </w:tr>
    </w:tbl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注：“主要成绩”栏可另加附页</w:t>
      </w:r>
    </w:p>
    <w:tbl>
      <w:tblPr>
        <w:tblStyle w:val="6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乡镇政府自我评价</w:t>
            </w:r>
          </w:p>
        </w:tc>
        <w:tc>
          <w:tcPr>
            <w:tcW w:w="7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wordWrap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（盖章）    </w:t>
            </w:r>
          </w:p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县（市、区）绿化委员会办公室意见</w:t>
            </w:r>
          </w:p>
        </w:tc>
        <w:tc>
          <w:tcPr>
            <w:tcW w:w="7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wordWrap w:val="0"/>
              <w:autoSpaceDN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（盖章）    </w:t>
            </w:r>
          </w:p>
          <w:p>
            <w:pPr>
              <w:widowControl/>
              <w:wordWrap w:val="0"/>
              <w:autoSpaceDN w:val="0"/>
              <w:spacing w:line="24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市考核验收组意见</w:t>
            </w:r>
          </w:p>
        </w:tc>
        <w:tc>
          <w:tcPr>
            <w:tcW w:w="7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组长签字：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市绿化委员会办公室意见</w:t>
            </w:r>
          </w:p>
        </w:tc>
        <w:tc>
          <w:tcPr>
            <w:tcW w:w="7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480" w:firstLine="576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>
      <w:pPr>
        <w:jc w:val="left"/>
      </w:pPr>
    </w:p>
    <w:p>
      <w:pPr>
        <w:widowControl/>
        <w:rPr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附件8：</w:t>
      </w:r>
    </w:p>
    <w:p>
      <w:pPr>
        <w:widowControl/>
        <w:rPr>
          <w:kern w:val="0"/>
          <w:sz w:val="30"/>
          <w:szCs w:val="30"/>
        </w:rPr>
      </w:pPr>
    </w:p>
    <w:p>
      <w:pPr>
        <w:widowControl/>
        <w:rPr>
          <w:kern w:val="0"/>
          <w:sz w:val="30"/>
          <w:szCs w:val="30"/>
        </w:rPr>
      </w:pPr>
    </w:p>
    <w:p>
      <w:pPr>
        <w:widowControl/>
        <w:spacing w:line="400" w:lineRule="atLeast"/>
        <w:jc w:val="center"/>
        <w:rPr>
          <w:rFonts w:ascii="黑体" w:eastAsia="黑体"/>
          <w:b/>
          <w:bCs/>
          <w:color w:val="000000"/>
          <w:spacing w:val="60"/>
          <w:kern w:val="0"/>
          <w:sz w:val="52"/>
          <w:szCs w:val="52"/>
        </w:rPr>
      </w:pPr>
      <w:r>
        <w:rPr>
          <w:rFonts w:hint="eastAsia" w:ascii="黑体" w:eastAsia="黑体"/>
          <w:b/>
          <w:bCs/>
          <w:color w:val="000000"/>
          <w:spacing w:val="60"/>
          <w:kern w:val="0"/>
          <w:sz w:val="52"/>
          <w:szCs w:val="52"/>
        </w:rPr>
        <w:t>银川市“森林村庄”</w:t>
      </w:r>
    </w:p>
    <w:p>
      <w:pPr>
        <w:widowControl/>
        <w:spacing w:line="400" w:lineRule="atLeast"/>
        <w:jc w:val="center"/>
        <w:rPr>
          <w:rFonts w:ascii="黑体" w:eastAsia="黑体"/>
          <w:b/>
          <w:bCs/>
          <w:color w:val="000000"/>
          <w:spacing w:val="15"/>
          <w:kern w:val="0"/>
          <w:sz w:val="52"/>
          <w:szCs w:val="52"/>
        </w:rPr>
      </w:pPr>
      <w:r>
        <w:rPr>
          <w:rFonts w:hint="eastAsia" w:ascii="黑体" w:eastAsia="黑体"/>
          <w:b/>
          <w:bCs/>
          <w:color w:val="000000"/>
          <w:spacing w:val="60"/>
          <w:kern w:val="0"/>
          <w:sz w:val="52"/>
          <w:szCs w:val="52"/>
        </w:rPr>
        <w:t>申报</w:t>
      </w:r>
      <w:r>
        <w:rPr>
          <w:rFonts w:hint="eastAsia" w:ascii="黑体" w:eastAsia="黑体"/>
          <w:b/>
          <w:bCs/>
          <w:color w:val="000000"/>
          <w:spacing w:val="15"/>
          <w:kern w:val="0"/>
          <w:sz w:val="52"/>
          <w:szCs w:val="52"/>
        </w:rPr>
        <w:t>表</w:t>
      </w: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52"/>
          <w:szCs w:val="5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ind w:firstLine="640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ind w:firstLine="640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rPr>
          <w:rFonts w:ascii="宋体" w:hAnsi="宋体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 xml:space="preserve">     申报单位：              （盖章）</w:t>
      </w:r>
    </w:p>
    <w:p>
      <w:pPr>
        <w:widowControl/>
        <w:spacing w:line="400" w:lineRule="atLeast"/>
        <w:ind w:firstLine="640"/>
        <w:rPr>
          <w:rFonts w:ascii="宋体" w:hAnsi="宋体"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 xml:space="preserve">  申报日期：     年    月    日</w:t>
      </w:r>
    </w:p>
    <w:tbl>
      <w:tblPr>
        <w:tblStyle w:val="6"/>
        <w:tblW w:w="8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8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县（市、区）       乡（镇）         行政村</w:t>
            </w:r>
          </w:p>
        </w:tc>
        <w:tc>
          <w:tcPr>
            <w:tcW w:w="3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全村人口            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村庄建成区绿化覆盖率                  %</w:t>
            </w:r>
          </w:p>
        </w:tc>
        <w:tc>
          <w:tcPr>
            <w:tcW w:w="3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道路、河渠绿化率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8" w:hRule="atLeast"/>
        </w:trPr>
        <w:tc>
          <w:tcPr>
            <w:tcW w:w="8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创建工作主要成绩</w:t>
            </w:r>
          </w:p>
        </w:tc>
      </w:tr>
    </w:tbl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注：“主要成绩”栏可另加附页</w:t>
      </w:r>
    </w:p>
    <w:tbl>
      <w:tblPr>
        <w:tblStyle w:val="6"/>
        <w:tblW w:w="845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县（市、区）绿化委员会办公室验收意见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（盖章）</w:t>
            </w:r>
          </w:p>
          <w:p>
            <w:pPr>
              <w:widowControl/>
              <w:spacing w:line="400" w:lineRule="atLeast"/>
              <w:ind w:firstLine="528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市绿化委员会办公室意见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年   月   日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附件9：</w:t>
      </w:r>
    </w:p>
    <w:p>
      <w:pPr>
        <w:widowControl/>
        <w:rPr>
          <w:kern w:val="0"/>
          <w:sz w:val="30"/>
          <w:szCs w:val="30"/>
        </w:rPr>
      </w:pPr>
    </w:p>
    <w:p>
      <w:pPr>
        <w:widowControl/>
        <w:rPr>
          <w:kern w:val="0"/>
          <w:sz w:val="30"/>
          <w:szCs w:val="30"/>
        </w:rPr>
      </w:pPr>
    </w:p>
    <w:p>
      <w:pPr>
        <w:widowControl/>
        <w:spacing w:line="400" w:lineRule="atLeast"/>
        <w:jc w:val="center"/>
        <w:rPr>
          <w:rFonts w:ascii="黑体" w:eastAsia="黑体"/>
          <w:b/>
          <w:bCs/>
          <w:color w:val="000000"/>
          <w:spacing w:val="60"/>
          <w:kern w:val="0"/>
          <w:sz w:val="52"/>
          <w:szCs w:val="52"/>
        </w:rPr>
      </w:pPr>
    </w:p>
    <w:p>
      <w:pPr>
        <w:widowControl/>
        <w:spacing w:line="400" w:lineRule="atLeast"/>
        <w:jc w:val="center"/>
        <w:rPr>
          <w:rFonts w:ascii="黑体" w:eastAsia="黑体"/>
          <w:b/>
          <w:bCs/>
          <w:color w:val="000000"/>
          <w:spacing w:val="60"/>
          <w:kern w:val="0"/>
          <w:sz w:val="52"/>
          <w:szCs w:val="52"/>
        </w:rPr>
      </w:pPr>
      <w:r>
        <w:rPr>
          <w:rFonts w:hint="eastAsia" w:ascii="黑体" w:eastAsia="黑体"/>
          <w:b/>
          <w:bCs/>
          <w:color w:val="000000"/>
          <w:spacing w:val="60"/>
          <w:kern w:val="0"/>
          <w:sz w:val="52"/>
          <w:szCs w:val="52"/>
        </w:rPr>
        <w:t>“林  韵  酒  庄”</w:t>
      </w:r>
    </w:p>
    <w:p>
      <w:pPr>
        <w:widowControl/>
        <w:spacing w:line="400" w:lineRule="atLeast"/>
        <w:jc w:val="center"/>
        <w:rPr>
          <w:rFonts w:ascii="黑体" w:eastAsia="黑体"/>
          <w:b/>
          <w:bCs/>
          <w:color w:val="000000"/>
          <w:spacing w:val="15"/>
          <w:kern w:val="0"/>
          <w:sz w:val="52"/>
          <w:szCs w:val="52"/>
        </w:rPr>
      </w:pPr>
      <w:r>
        <w:rPr>
          <w:rFonts w:hint="eastAsia" w:ascii="黑体" w:eastAsia="黑体"/>
          <w:b/>
          <w:bCs/>
          <w:color w:val="000000"/>
          <w:spacing w:val="60"/>
          <w:kern w:val="0"/>
          <w:sz w:val="52"/>
          <w:szCs w:val="52"/>
        </w:rPr>
        <w:t>申报</w:t>
      </w:r>
      <w:r>
        <w:rPr>
          <w:rFonts w:hint="eastAsia" w:ascii="黑体" w:eastAsia="黑体"/>
          <w:b/>
          <w:bCs/>
          <w:color w:val="000000"/>
          <w:spacing w:val="15"/>
          <w:kern w:val="0"/>
          <w:sz w:val="52"/>
          <w:szCs w:val="52"/>
        </w:rPr>
        <w:t>表</w:t>
      </w: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52"/>
          <w:szCs w:val="5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ind w:firstLine="640"/>
        <w:rPr>
          <w:rFonts w:ascii="仿宋" w:hAnsi="仿宋" w:eastAsia="仿宋"/>
          <w:color w:val="000000"/>
          <w:spacing w:val="15"/>
          <w:kern w:val="0"/>
          <w:sz w:val="32"/>
          <w:szCs w:val="32"/>
        </w:rPr>
      </w:pPr>
    </w:p>
    <w:p>
      <w:pPr>
        <w:widowControl/>
        <w:spacing w:line="400" w:lineRule="atLeast"/>
        <w:rPr>
          <w:rFonts w:ascii="宋体" w:hAnsi="宋体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 xml:space="preserve">     申报单位：              （盖章）</w:t>
      </w:r>
    </w:p>
    <w:p>
      <w:pPr>
        <w:widowControl/>
        <w:spacing w:line="400" w:lineRule="atLeast"/>
        <w:ind w:firstLine="640"/>
        <w:rPr>
          <w:rFonts w:ascii="宋体" w:hAnsi="宋体"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15"/>
          <w:kern w:val="0"/>
          <w:sz w:val="32"/>
          <w:szCs w:val="32"/>
        </w:rPr>
        <w:t xml:space="preserve">  申报日期：     年    月    日</w:t>
      </w:r>
    </w:p>
    <w:tbl>
      <w:tblPr>
        <w:tblStyle w:val="6"/>
        <w:tblW w:w="8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3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县（市、区）  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酒庄面积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酒庄建成区绿化覆盖率            %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酒庄乡土植物种类比例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8" w:hRule="atLeast"/>
        </w:trPr>
        <w:tc>
          <w:tcPr>
            <w:tcW w:w="8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创建工作主要成绩</w:t>
            </w:r>
          </w:p>
        </w:tc>
      </w:tr>
    </w:tbl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注：“主要成绩”栏可另加附页</w:t>
      </w:r>
    </w:p>
    <w:tbl>
      <w:tblPr>
        <w:tblStyle w:val="6"/>
        <w:tblW w:w="845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酒庄自查意见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pStyle w:val="2"/>
              <w:ind w:firstLine="421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县（市、区）绿化委员会办公室验收意见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（盖章）</w:t>
            </w:r>
          </w:p>
          <w:p>
            <w:pPr>
              <w:widowControl/>
              <w:spacing w:line="400" w:lineRule="atLeast"/>
              <w:ind w:firstLine="528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市绿化委员会办公室意见</w:t>
            </w:r>
          </w:p>
        </w:tc>
        <w:tc>
          <w:tcPr>
            <w:tcW w:w="7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widowControl/>
              <w:spacing w:line="400" w:lineRule="atLeas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年   月   日</w:t>
            </w:r>
          </w:p>
        </w:tc>
      </w:tr>
    </w:tbl>
    <w:p>
      <w:pPr>
        <w:pStyle w:val="2"/>
        <w:ind w:firstLine="0" w:firstLineChars="0"/>
        <w:jc w:val="left"/>
        <w:sectPr>
          <w:headerReference r:id="rId3" w:type="default"/>
          <w:pgSz w:w="11906" w:h="16838"/>
          <w:pgMar w:top="2098" w:right="1474" w:bottom="1985" w:left="1588" w:header="851" w:footer="1418" w:gutter="0"/>
          <w:pgNumType w:fmt="numberInDash" w:start="1"/>
          <w:cols w:space="0" w:num="1"/>
          <w:titlePg/>
          <w:docGrid w:type="linesAndChars" w:linePitch="650" w:charSpace="121"/>
        </w:sectPr>
      </w:pP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附件10：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pacing w:val="1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“森林单位（社区）”（“</w:t>
      </w:r>
      <w:r>
        <w:rPr>
          <w:rFonts w:hint="eastAsia" w:ascii="方正小标宋简体" w:hAnsi="方正小标宋简体" w:eastAsia="方正小标宋简体" w:cs="方正小标宋简体"/>
          <w:bCs/>
          <w:spacing w:val="15"/>
          <w:kern w:val="0"/>
          <w:sz w:val="44"/>
          <w:szCs w:val="44"/>
        </w:rPr>
        <w:t>园林式单位(居住区)”）推荐表</w:t>
      </w:r>
    </w:p>
    <w:p>
      <w:pPr>
        <w:pStyle w:val="2"/>
        <w:ind w:firstLine="0" w:firstLineChars="0"/>
      </w:pPr>
      <w:r>
        <w:rPr>
          <w:rFonts w:hint="eastAsia"/>
        </w:rPr>
        <w:t>填报单位：                                                                                  填报日期：    年     月   日</w:t>
      </w:r>
    </w:p>
    <w:tbl>
      <w:tblPr>
        <w:tblStyle w:val="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701"/>
        <w:gridCol w:w="2409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单位(居住区)名称</w:t>
            </w:r>
          </w:p>
        </w:tc>
        <w:tc>
          <w:tcPr>
            <w:tcW w:w="2977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所在县市区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restart"/>
          </w:tcPr>
          <w:p>
            <w:pPr>
              <w:ind w:firstLine="2415" w:firstLineChars="1150"/>
              <w:rPr>
                <w:rFonts w:cs="MS Gothic"/>
                <w:szCs w:val="21"/>
              </w:rPr>
            </w:pPr>
          </w:p>
          <w:p>
            <w:pPr>
              <w:ind w:right="105"/>
              <w:jc w:val="center"/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填表单位:  (盖章)</w:t>
            </w:r>
          </w:p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开发建设管理单位</w:t>
            </w:r>
          </w:p>
        </w:tc>
        <w:tc>
          <w:tcPr>
            <w:tcW w:w="2977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法人代表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rPr>
                <w:rFonts w:cs="MS Gothi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单位地址</w:t>
            </w:r>
          </w:p>
        </w:tc>
        <w:tc>
          <w:tcPr>
            <w:tcW w:w="2977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联系电话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rPr>
                <w:rFonts w:cs="MS Gothi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总用地面积(㎡)</w:t>
            </w:r>
          </w:p>
        </w:tc>
        <w:tc>
          <w:tcPr>
            <w:tcW w:w="2977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四址范围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restart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            </w:t>
            </w:r>
          </w:p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          主管部门意见:   (盖章)          </w:t>
            </w:r>
          </w:p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绿地总面积(平方米)</w:t>
            </w:r>
          </w:p>
        </w:tc>
        <w:tc>
          <w:tcPr>
            <w:tcW w:w="2977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绿地率(%)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rPr>
                <w:rFonts w:cs="MS Gothi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3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树木成活率(%)</w:t>
            </w:r>
          </w:p>
        </w:tc>
        <w:tc>
          <w:tcPr>
            <w:tcW w:w="2977" w:type="dxa"/>
          </w:tcPr>
          <w:p>
            <w:pPr>
              <w:rPr>
                <w:rFonts w:eastAsia="MS Gothic" w:cs="MS Gothic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绿化覆盖率(%)</w:t>
            </w:r>
          </w:p>
        </w:tc>
        <w:tc>
          <w:tcPr>
            <w:tcW w:w="2409" w:type="dxa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ind w:firstLine="525" w:firstLineChars="250"/>
              <w:jc w:val="right"/>
              <w:rPr>
                <w:rFonts w:cs="MS Gothi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80" w:type="dxa"/>
            <w:gridSpan w:val="4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                               景观效果评价</w:t>
            </w:r>
          </w:p>
        </w:tc>
        <w:tc>
          <w:tcPr>
            <w:tcW w:w="2127" w:type="dxa"/>
            <w:vMerge w:val="restart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县区绿委评审意见:</w:t>
            </w:r>
          </w:p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</w:t>
            </w:r>
          </w:p>
          <w:p>
            <w:pPr>
              <w:ind w:firstLine="1050" w:firstLineChars="500"/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(盖章)</w:t>
            </w:r>
          </w:p>
          <w:p>
            <w:pPr>
              <w:jc w:val="right"/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年   月   日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首府绿委评审意见:</w:t>
            </w:r>
          </w:p>
          <w:p>
            <w:pPr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 xml:space="preserve">  </w:t>
            </w:r>
          </w:p>
          <w:p>
            <w:pPr>
              <w:ind w:firstLine="1050" w:firstLineChars="500"/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(盖章)</w:t>
            </w:r>
          </w:p>
          <w:p>
            <w:pPr>
              <w:jc w:val="right"/>
              <w:rPr>
                <w:rFonts w:cs="MS Gothic"/>
                <w:szCs w:val="21"/>
              </w:rPr>
            </w:pPr>
            <w:r>
              <w:rPr>
                <w:rFonts w:hint="eastAsia" w:cs="MS Gothic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4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2127" w:type="dxa"/>
            <w:vMerge w:val="continue"/>
          </w:tcPr>
          <w:p>
            <w:pPr>
              <w:rPr>
                <w:rFonts w:cs="MS Gothic"/>
                <w:szCs w:val="21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cs="MS Gothic"/>
                <w:szCs w:val="21"/>
              </w:rPr>
            </w:pPr>
          </w:p>
        </w:tc>
      </w:tr>
    </w:tbl>
    <w:p>
      <w:pPr>
        <w:pStyle w:val="2"/>
        <w:ind w:firstLine="0" w:firstLineChars="0"/>
        <w:jc w:val="left"/>
      </w:pPr>
    </w:p>
    <w:sectPr>
      <w:pgSz w:w="16838" w:h="11906" w:orient="landscape"/>
      <w:pgMar w:top="1588" w:right="2098" w:bottom="1474" w:left="1985" w:header="851" w:footer="1418" w:gutter="0"/>
      <w:pgNumType w:fmt="numberInDash" w:start="2"/>
      <w:cols w:space="0" w:num="1"/>
      <w:docGrid w:type="linesAndChars" w:linePitch="65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211"/>
  <w:drawingGridVerticalSpacing w:val="32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4C"/>
    <w:rsid w:val="00021ABA"/>
    <w:rsid w:val="00043450"/>
    <w:rsid w:val="0005074B"/>
    <w:rsid w:val="00056BB3"/>
    <w:rsid w:val="00062DFE"/>
    <w:rsid w:val="000A7760"/>
    <w:rsid w:val="000A7FE0"/>
    <w:rsid w:val="000D4C6A"/>
    <w:rsid w:val="000F082D"/>
    <w:rsid w:val="001013DF"/>
    <w:rsid w:val="001149DB"/>
    <w:rsid w:val="0017653B"/>
    <w:rsid w:val="001C29D7"/>
    <w:rsid w:val="001C5DA0"/>
    <w:rsid w:val="001E25D3"/>
    <w:rsid w:val="001E36E4"/>
    <w:rsid w:val="00200C9A"/>
    <w:rsid w:val="00202F40"/>
    <w:rsid w:val="0023593B"/>
    <w:rsid w:val="00254B7A"/>
    <w:rsid w:val="002656B7"/>
    <w:rsid w:val="0026575E"/>
    <w:rsid w:val="002759C2"/>
    <w:rsid w:val="002915A8"/>
    <w:rsid w:val="00297B87"/>
    <w:rsid w:val="002B374C"/>
    <w:rsid w:val="002D591F"/>
    <w:rsid w:val="002E4C7B"/>
    <w:rsid w:val="002F3158"/>
    <w:rsid w:val="003171E8"/>
    <w:rsid w:val="003337BE"/>
    <w:rsid w:val="00352E16"/>
    <w:rsid w:val="00396F1A"/>
    <w:rsid w:val="003B0200"/>
    <w:rsid w:val="003C1738"/>
    <w:rsid w:val="003E26C2"/>
    <w:rsid w:val="00411024"/>
    <w:rsid w:val="00423B3C"/>
    <w:rsid w:val="00441607"/>
    <w:rsid w:val="00450C04"/>
    <w:rsid w:val="00452FC4"/>
    <w:rsid w:val="00467ECB"/>
    <w:rsid w:val="004717CB"/>
    <w:rsid w:val="005176BE"/>
    <w:rsid w:val="00525CA3"/>
    <w:rsid w:val="00534F04"/>
    <w:rsid w:val="00546A41"/>
    <w:rsid w:val="00553922"/>
    <w:rsid w:val="00561512"/>
    <w:rsid w:val="005949A1"/>
    <w:rsid w:val="005A5C38"/>
    <w:rsid w:val="005E16EE"/>
    <w:rsid w:val="006072C3"/>
    <w:rsid w:val="0066087E"/>
    <w:rsid w:val="006A209F"/>
    <w:rsid w:val="006B5354"/>
    <w:rsid w:val="00735916"/>
    <w:rsid w:val="0074566D"/>
    <w:rsid w:val="007A151C"/>
    <w:rsid w:val="007A2C44"/>
    <w:rsid w:val="007E4D7D"/>
    <w:rsid w:val="0081479A"/>
    <w:rsid w:val="00837DF5"/>
    <w:rsid w:val="00860B47"/>
    <w:rsid w:val="008846F0"/>
    <w:rsid w:val="00894539"/>
    <w:rsid w:val="008E2822"/>
    <w:rsid w:val="008E7614"/>
    <w:rsid w:val="009021B1"/>
    <w:rsid w:val="00907F7F"/>
    <w:rsid w:val="0091180A"/>
    <w:rsid w:val="00994BA0"/>
    <w:rsid w:val="009D139E"/>
    <w:rsid w:val="009D514C"/>
    <w:rsid w:val="009E3C61"/>
    <w:rsid w:val="009F6669"/>
    <w:rsid w:val="00A1289E"/>
    <w:rsid w:val="00A83F9C"/>
    <w:rsid w:val="00AA03FD"/>
    <w:rsid w:val="00AA2D47"/>
    <w:rsid w:val="00AB0FFA"/>
    <w:rsid w:val="00AE6141"/>
    <w:rsid w:val="00B0183A"/>
    <w:rsid w:val="00B040DE"/>
    <w:rsid w:val="00B36F5F"/>
    <w:rsid w:val="00B45A28"/>
    <w:rsid w:val="00B56024"/>
    <w:rsid w:val="00B91A17"/>
    <w:rsid w:val="00BF53D8"/>
    <w:rsid w:val="00C00326"/>
    <w:rsid w:val="00C42F47"/>
    <w:rsid w:val="00C61070"/>
    <w:rsid w:val="00C72F3F"/>
    <w:rsid w:val="00C91A18"/>
    <w:rsid w:val="00CB13C6"/>
    <w:rsid w:val="00CD1C6C"/>
    <w:rsid w:val="00CE3FDA"/>
    <w:rsid w:val="00D14D6A"/>
    <w:rsid w:val="00D54E47"/>
    <w:rsid w:val="00D810A3"/>
    <w:rsid w:val="00D859FC"/>
    <w:rsid w:val="00DC1651"/>
    <w:rsid w:val="00DD050C"/>
    <w:rsid w:val="00DE3F87"/>
    <w:rsid w:val="00DF129E"/>
    <w:rsid w:val="00E23127"/>
    <w:rsid w:val="00E30997"/>
    <w:rsid w:val="00E35325"/>
    <w:rsid w:val="00E57BA9"/>
    <w:rsid w:val="00E71930"/>
    <w:rsid w:val="00E85FCA"/>
    <w:rsid w:val="00E869DA"/>
    <w:rsid w:val="00EA1EEE"/>
    <w:rsid w:val="00EB12F3"/>
    <w:rsid w:val="00ED3024"/>
    <w:rsid w:val="00F43DF6"/>
    <w:rsid w:val="00F477BF"/>
    <w:rsid w:val="00F56AAC"/>
    <w:rsid w:val="00FD2A22"/>
    <w:rsid w:val="00FF5114"/>
    <w:rsid w:val="0520583B"/>
    <w:rsid w:val="056D0E1A"/>
    <w:rsid w:val="07720891"/>
    <w:rsid w:val="09D71801"/>
    <w:rsid w:val="1065064F"/>
    <w:rsid w:val="10675041"/>
    <w:rsid w:val="10A97E3F"/>
    <w:rsid w:val="10B536DC"/>
    <w:rsid w:val="12755C33"/>
    <w:rsid w:val="15093633"/>
    <w:rsid w:val="15E1102E"/>
    <w:rsid w:val="16C476DB"/>
    <w:rsid w:val="1A371CB0"/>
    <w:rsid w:val="1B9157A0"/>
    <w:rsid w:val="1DFF6A84"/>
    <w:rsid w:val="211D6075"/>
    <w:rsid w:val="25954AA4"/>
    <w:rsid w:val="286C7526"/>
    <w:rsid w:val="2C931E52"/>
    <w:rsid w:val="2E112886"/>
    <w:rsid w:val="33A654A1"/>
    <w:rsid w:val="34BE2ECC"/>
    <w:rsid w:val="368036B7"/>
    <w:rsid w:val="38044D1C"/>
    <w:rsid w:val="386D1D56"/>
    <w:rsid w:val="39457D6A"/>
    <w:rsid w:val="3A167110"/>
    <w:rsid w:val="3BC672E1"/>
    <w:rsid w:val="3C55002E"/>
    <w:rsid w:val="44B64100"/>
    <w:rsid w:val="45357E24"/>
    <w:rsid w:val="48176E50"/>
    <w:rsid w:val="5B720370"/>
    <w:rsid w:val="5B7F6C3A"/>
    <w:rsid w:val="5C393FF8"/>
    <w:rsid w:val="5EB76A4E"/>
    <w:rsid w:val="5F210EE6"/>
    <w:rsid w:val="6061334B"/>
    <w:rsid w:val="6180544E"/>
    <w:rsid w:val="6342004B"/>
    <w:rsid w:val="641022CF"/>
    <w:rsid w:val="65142D65"/>
    <w:rsid w:val="655C33FB"/>
    <w:rsid w:val="665B2378"/>
    <w:rsid w:val="66E22D5A"/>
    <w:rsid w:val="67E1573D"/>
    <w:rsid w:val="68EF3348"/>
    <w:rsid w:val="6A21100C"/>
    <w:rsid w:val="6BC56B04"/>
    <w:rsid w:val="6DA80DC3"/>
    <w:rsid w:val="6E317D6F"/>
    <w:rsid w:val="6EB74ED1"/>
    <w:rsid w:val="717018DE"/>
    <w:rsid w:val="73676D41"/>
    <w:rsid w:val="76975BFF"/>
    <w:rsid w:val="76D42BDE"/>
    <w:rsid w:val="79970AA0"/>
    <w:rsid w:val="7C5170BD"/>
    <w:rsid w:val="7CF7272C"/>
    <w:rsid w:val="7FF70781"/>
    <w:rsid w:val="BFBE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★本文 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8"/>
      <w:szCs w:val="2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25</Pages>
  <Words>1005</Words>
  <Characters>5733</Characters>
  <Lines>47</Lines>
  <Paragraphs>13</Paragraphs>
  <TotalTime>2</TotalTime>
  <ScaleCrop>false</ScaleCrop>
  <LinksUpToDate>false</LinksUpToDate>
  <CharactersWithSpaces>6725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2022-07-18T11:10:00Z</dcterms:created>
  <dc:creator>Administrator</dc:creator>
  <cp:lastModifiedBy>kylin</cp:lastModifiedBy>
  <cp:lastPrinted>2022-07-19T15:34:00Z</cp:lastPrinted>
  <dcterms:modified xsi:type="dcterms:W3CDTF">2022-07-26T15:55:15Z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