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8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《兴庆区花卉产业高质量发展若干措施》</w:t>
      </w:r>
    </w:p>
    <w:p w14:paraId="61B94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（征求意见稿）</w:t>
      </w:r>
    </w:p>
    <w:p w14:paraId="2A5C2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D2E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为打好黄河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几字弯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攻坚战，全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落实兴庆区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八个坚持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八个突破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工作目标，进一步调动辖区农户、合作社、企业等花卉生产经营主体的积极性，加快培育适应现代农业发展的高素质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花卉人才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队伍，推动花卉产业实现规模扩张与质量提升，促进农民持续稳定增收，特制定以下扶持措施。</w:t>
      </w:r>
    </w:p>
    <w:p w14:paraId="5E55A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/>
        </w:rPr>
        <w:t>支持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扩大花卉种植规模</w:t>
      </w:r>
    </w:p>
    <w:p w14:paraId="4ADB7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eastAsia="zh-CN"/>
        </w:rPr>
        <w:t>加大鲜切花种苗补贴支持力度。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鼓励注册地在兴庆区并且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在兴庆区从事花卉种植的农户、合作社、企业，种植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康乃馨、切花菊、切花蝴蝶兰（含白色蝴蝶兰）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玫瑰、百合、非洲菊、郁金香、切花绣球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大类中的一种或多种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，经验收后给予种苗补贴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其中，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郁金香补贴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标准为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20000元/亩；百合、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切花蝴蝶兰补贴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标准为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10000元/亩；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康乃馨、玫瑰、切花绣球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补贴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标准为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000元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切花菊、非洲菊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补贴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标准为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000元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/亩。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二茬花以及露地种植的鲜切花不在补贴范围内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温棚新种植的玫瑰、非洲菊、绣球等跨年度宿根鲜切花仅补贴一次。</w:t>
      </w:r>
    </w:p>
    <w:p w14:paraId="38C5F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补贴面积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以各种类型温室（棚）的设施面积（不含阳畦地）为准，包括复种面积。</w:t>
      </w:r>
    </w:p>
    <w:p w14:paraId="3F319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鼓励集中连片规模化种植。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农户、合作社、企业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发展鲜切花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规模化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种植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给予规模化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补贴资金。其中，同一经营主体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集中连片种植设施面积达到50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（含）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100亩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以下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的，给予5万元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规模化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补贴资金；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100亩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（含）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以上的，给予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0万元规模化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补贴资金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。同一经营主体在不同乡镇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村队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拥有连片基地的，合作社经营下的农户种植面积合并计算。</w:t>
      </w:r>
    </w:p>
    <w:p w14:paraId="4122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鼓励年宵盆花规模化生产。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生产蝴蝶兰、仙客来、迷你玫瑰、盆栽绣球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年宵盆花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，集中连片且达到一定规模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给予规模化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补贴资金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其中，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生产种类合并累计数量30万株（盆）（含）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万株（盆）（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含）的，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每年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给予10万元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规模化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补贴资金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；50万株（盆）（含）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万株（盆）（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含）的，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每年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给予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规模化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补贴资金；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超过100万株（盆）（含）以上的，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每年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给予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0万元规模化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补贴资金。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同一经营主体种植多种年宵盆花的，合并计算数量。临时进货售卖和短时间驯化等非生产性活动不在补贴范围内。</w:t>
      </w:r>
    </w:p>
    <w:p w14:paraId="761C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鼓励新品种引进推广。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加大花卉新品种引育力度，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农户、合作社、企业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引进除康乃馨、百合、非洲菊、玫瑰、郁金香、切花菊、切花绣球、切花蝴蝶兰（含白色蝴蝶兰）8大类以外的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在温室（棚）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种植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鲜切花新品种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给予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种苗（种子）成本50%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的补助。</w:t>
      </w:r>
    </w:p>
    <w:p w14:paraId="7B60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鼓励苗木盆景化发展。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为提高宁夏枸杞、葡萄产业附加值，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一苗两用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观赏与食用功能兼具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推动枸杞、葡萄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苗木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盆景化发展，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各类经营主体培育枸杞盆景或葡萄盆景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及以上，且销售额不低于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，经验收后，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一次性给予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万元的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补贴。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​</w:t>
      </w:r>
    </w:p>
    <w:p w14:paraId="5101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、支持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扩大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花卉</w:t>
      </w:r>
      <w:r>
        <w:rPr>
          <w:rFonts w:hint="default" w:ascii="Times New Roman" w:hAnsi="Times New Roman" w:eastAsia="黑体" w:cs="Times New Roman"/>
          <w:sz w:val="32"/>
          <w:szCs w:val="32"/>
        </w:rPr>
        <w:t>品牌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影响力</w:t>
      </w:r>
      <w:r>
        <w:rPr>
          <w:rFonts w:hint="default" w:ascii="Times New Roman" w:hAnsi="Times New Roman" w:eastAsia="黑体" w:cs="Times New Roman"/>
          <w:sz w:val="32"/>
          <w:szCs w:val="32"/>
        </w:rPr>
        <w:t>​</w:t>
      </w:r>
    </w:p>
    <w:p w14:paraId="6165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6.持续强化品牌效应。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兴庆区花卉协会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区内外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举办“兴庆花卉”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品牌宣传系列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和参加相关展会展销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。经行业主管部门同意后，对举办“兴庆花卉”花艺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交流、节会展会等花事活动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的，对产生的费用予以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补贴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在区外参加花卉展会展销活动，宣传销售兴庆花卉，对布展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（摊位）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、交通、住宿费用进行补贴，其中，交通、住宿费用参照党政机关有关规定给予补贴，补贴金额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总计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不超过30万元/年。</w:t>
      </w:r>
    </w:p>
    <w:p w14:paraId="4FA03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7.鼓励培育花卉市场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依托银川国际鲜花港区位及产业优势，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鼓励建立设施完备、功能齐全和方便快捷的综合性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花卉交易市场，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、手续齐全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至少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0家以上花卉商户入驻经营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持续经营一年以上的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，一次性给予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鼓励辖区内经营主体在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外开设具有品牌宣传作用的兴庆花卉销售点。</w:t>
      </w:r>
    </w:p>
    <w:p w14:paraId="D3CF1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8.鼓励探索线上销售新模式。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农户、合作社、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企业通过自营平台或第三方平台开展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花卉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销售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直播间背景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显著的“兴庆花卉”标识，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以扩大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“兴庆花卉”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品牌效应和产品价值。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销售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本措施支持种植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8大类鲜切花及4种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年宵盆花的，给予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网络销售物流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30%的补贴，最高不超过15万元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年。</w:t>
      </w:r>
    </w:p>
    <w:p w14:paraId="76AF5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支持扩大科技研发投入</w:t>
      </w:r>
    </w:p>
    <w:p w14:paraId="0E958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9.加大花卉产业技术投入。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鼓励合作社、企业引进花卉方向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副高级及以上职称的专业技术人才开展花卉种植技术指导服务。经行业主管部门备案后，对上述引进的专业技术人才开展技术服务费用给予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50%的补贴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，补贴资金不超过5万元/年。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打造人才工作站，为各类技术人才提供花卉行业实习就业机会，争取各级各类人才项目支持，提升人才引进和培训质量。依托宁夏大学等高校及科研院所，鼓励企业、协会等开展品种改良、栽培技术、病虫害防治技术研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08EA0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10.鼓励</w:t>
      </w:r>
      <w:bookmarkStart w:id="0" w:name="_GoBack"/>
      <w:bookmarkEnd w:id="0"/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发展花卉精深加工。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鼓励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各类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经营主体开展花卉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精深加工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促进生产、加工有机结合。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加工产品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包含但不仅限于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使用本地生产的花卉制作的干花、永生花、鲜花饼、花茶、精油美容护肤品等。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对依法依规生产，经审核认定后，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按照加工产品的年销售金额（最低5万元起）的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％给予补贴，补贴金额不超过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0万元。</w:t>
      </w:r>
    </w:p>
    <w:p w14:paraId="58DB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实施期限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为三年，从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2025年5月1日起至2028年4月30日止，2024年5月20日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印发的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《兴庆区扶持花卉产业高质量发展若干措施》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银兴党农发〔2024〕7号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同时废止。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具体解释工作由兴庆区自然资源局负责。</w:t>
      </w:r>
    </w:p>
    <w:sectPr>
      <w:footerReference r:id="rId3" w:type="default"/>
      <w:pgSz w:w="11906" w:h="16838"/>
      <w:pgMar w:top="2154" w:right="1587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C9D7E">
    <w:pPr>
      <w:pStyle w:val="2"/>
      <w:tabs>
        <w:tab w:val="center" w:pos="43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14D972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4D972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MzdjMWI0ZWVhNWE5NTgwY2ZiNzI1NDU2YjM0NjcifQ=="/>
  </w:docVars>
  <w:rsids>
    <w:rsidRoot w:val="00000000"/>
    <w:rsid w:val="0C331859"/>
    <w:rsid w:val="0D15598B"/>
    <w:rsid w:val="166768F3"/>
    <w:rsid w:val="3B885D5C"/>
    <w:rsid w:val="5B9434BA"/>
    <w:rsid w:val="6BB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2022</Words>
  <Characters>2099</Characters>
  <Paragraphs>23</Paragraphs>
  <TotalTime>26</TotalTime>
  <ScaleCrop>false</ScaleCrop>
  <LinksUpToDate>false</LinksUpToDate>
  <CharactersWithSpaces>2100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2025-03-18T07:03:00Z</dcterms:created>
  <dc:creator>惜木</dc:creator>
  <cp:lastModifiedBy>锦时</cp:lastModifiedBy>
  <cp:lastPrinted>2025-04-03T04:46:00Z</cp:lastPrinted>
  <dcterms:modified xsi:type="dcterms:W3CDTF">2025-04-22T01:40:37Z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3f819bba17774018a9c4701bd22c0e52_23</vt:lpwstr>
  </property>
  <property fmtid="{D5CDD505-2E9C-101B-9397-08002B2CF9AE}" pid="4" name="KSOTemplateDocerSaveRecord">
    <vt:lpwstr>eyJoZGlkIjoiNjY1NTg2YzY5MTFlNTg2ZjgzNmY3YWEzY2RiOTYyOTgiLCJ1c2VySWQiOiI0NTQyMzYxNjIifQ==</vt:lpwstr>
  </property>
</Properties>
</file>