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left="0" w:leftChars="0" w:right="0" w:rightChars="0"/>
        <w:jc w:val="center"/>
        <w:textAlignment w:val="auto"/>
        <w:outlineLvl w:val="9"/>
        <w:rPr>
          <w:rFonts w:hint="eastAsia" w:ascii="黑体" w:hAnsi="黑体" w:eastAsia="黑体" w:cs="黑体"/>
          <w:b/>
          <w:bCs/>
          <w:w w:val="90"/>
          <w:sz w:val="44"/>
          <w:szCs w:val="44"/>
        </w:rPr>
      </w:pPr>
      <w:r>
        <w:rPr>
          <w:rFonts w:hint="eastAsia" w:ascii="黑体" w:hAnsi="黑体" w:eastAsia="黑体" w:cs="黑体"/>
          <w:b/>
          <w:bCs/>
          <w:w w:val="90"/>
          <w:sz w:val="44"/>
          <w:szCs w:val="44"/>
          <w:lang w:val="en-US" w:eastAsia="zh-CN"/>
        </w:rPr>
        <w:t>通贵乡</w:t>
      </w:r>
      <w:r>
        <w:rPr>
          <w:rFonts w:hint="eastAsia" w:ascii="黑体" w:hAnsi="黑体" w:eastAsia="黑体" w:cs="黑体"/>
          <w:b/>
          <w:bCs/>
          <w:w w:val="90"/>
          <w:sz w:val="44"/>
          <w:szCs w:val="44"/>
        </w:rPr>
        <w:t>关于进一步完善修订村规民约开展</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left="0" w:leftChars="0" w:right="0" w:rightChars="0"/>
        <w:jc w:val="center"/>
        <w:textAlignment w:val="auto"/>
        <w:outlineLvl w:val="9"/>
        <w:rPr>
          <w:rFonts w:hint="eastAsia"/>
          <w:sz w:val="44"/>
          <w:szCs w:val="44"/>
        </w:rPr>
      </w:pPr>
      <w:bookmarkStart w:id="0" w:name="_GoBack"/>
      <w:r>
        <w:rPr>
          <w:rFonts w:hint="eastAsia" w:ascii="黑体" w:hAnsi="黑体" w:eastAsia="黑体" w:cs="黑体"/>
          <w:b/>
          <w:bCs/>
          <w:w w:val="90"/>
          <w:sz w:val="44"/>
          <w:szCs w:val="44"/>
        </w:rPr>
        <w:t>乡村治理积分制管理工作</w:t>
      </w:r>
      <w:r>
        <w:rPr>
          <w:rFonts w:hint="eastAsia" w:ascii="黑体" w:hAnsi="黑体" w:eastAsia="黑体" w:cs="黑体"/>
          <w:b/>
          <w:bCs/>
          <w:w w:val="90"/>
          <w:sz w:val="44"/>
          <w:szCs w:val="44"/>
          <w:lang w:eastAsia="zh-CN"/>
        </w:rPr>
        <w:t>的</w:t>
      </w:r>
      <w:r>
        <w:rPr>
          <w:rFonts w:hint="eastAsia" w:ascii="黑体" w:hAnsi="黑体" w:eastAsia="黑体" w:cs="黑体"/>
          <w:b/>
          <w:bCs/>
          <w:w w:val="90"/>
          <w:sz w:val="44"/>
          <w:szCs w:val="44"/>
        </w:rPr>
        <w:t>实施方案</w:t>
      </w:r>
    </w:p>
    <w:bookmarkEnd w:id="0"/>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为认真贯彻落实“产业兴旺、生态宜居、乡风文明、治理有效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生活富裕”的乡村振兴战略总要求,充分发挥村规民约在农村社会综合治理中的教育、引导、约束和惩戒作用,持续推进移风易俗,树立文明乡风。</w:t>
      </w:r>
      <w:r>
        <w:rPr>
          <w:rFonts w:hint="eastAsia" w:ascii="仿宋_GB2312" w:hAnsi="仿宋_GB2312" w:eastAsia="仿宋_GB2312" w:cs="仿宋_GB2312"/>
          <w:sz w:val="32"/>
          <w:szCs w:val="32"/>
          <w:lang w:val="en-US" w:eastAsia="zh-CN"/>
        </w:rPr>
        <w:t>按照上级要求，</w:t>
      </w:r>
      <w:r>
        <w:rPr>
          <w:rFonts w:hint="eastAsia" w:ascii="仿宋_GB2312" w:hAnsi="仿宋_GB2312" w:eastAsia="仿宋_GB2312" w:cs="仿宋_GB2312"/>
          <w:sz w:val="32"/>
          <w:szCs w:val="32"/>
        </w:rPr>
        <w:t>进一步完善修订“村规民约”,推行乡村治理积分管理制度,强化乡村治理。特制定本实施方案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指导思想和基本原则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学习贯彻习近平新时代中国特色社会主义思想和党的十九大精神,以实现城乡环境美、人文美、风尚美、秩序美为目标积极顺应农村新变化,尊重群众意愿,创新农村自治有效管理形式;突出党员干部带头、率先垂范,落实包户责任;突出群众自觉、全面参与,形成自治法治德治相结合的乡村治理体系,为打赢整改创建全国文明城市攻坚战,全面建成小康社会营造良好的社会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党的领导,依法合规指导村民自治。充分发挥各级党组织在修订村规民约、乡村治理工作中的领导核心作用;发挥党员在乡村治理中文明行为倡导、环境卫生督促、遵规守法监督等方面的示范带头和帮带包抓作用;发挥群众在村规民约修订中的积极性、主动性。修订完善村规民约严格按照法定程序办事,依规合法,内容不得与国家宪法、法律、法规和党的方针、政策相抵触,不得侵犯公民人身权利、民主权利和合法财产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坚持问题导向,完善修订村规民约。各村围绕当前基层治理中的难点问题,结合风俗习惯,开展修订工作。坚持“一村一约”,不照搬照抄政策、法律条文,既明确“该做什么”、“不该做什么”,又规定“违反后怎么办”。力求特色明显、通俗易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坚持以人为本,发挥积分管理激励作用。针对新规新约进行积分量化,科学设置积分制管理标准体系。引导党员和群众积极参与积分制管理全过程,发挥积分制管理的激励作用,选树正面典型,解决实际问题,提高农村社会治理能力和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二、村规民约修订完善的主要内容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村规民约是村民根据法律和政策规定,结合本村实际由村民共同商议制定,是每个村民在日常生产生活中必须遵守和执行的行为规范。原则上村规民约的制定可以不拘一格,不要求统可因地制宜、各具特色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1.明确规约重点。修订完善村规民约应涵盖精神文明建设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治安综合治理、美丽乡村建设、移风易俗树新风和村民会议认为应当规定的其他事项。特别是要把人居环境整治、乡村建设、婚丧从简、厚养薄葬、孝老敬亲等群众关心关注的内容作为重点写入村规民约,组织修改完善各村红白事办理制度,在酒席数量价格、参与人员范围、动用车辆数量、礼金金额等方面作出明确具体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奖罚措施。在修订完善村规民约过程中同步明确各条规约相对应的违约奖罚措施。可根据群众意愿和违约行为轻重选择和釆取批评教育、道德红黄蓝榜公开曝光、村内警告、责令改正、扣除积分、取消相关荣誉评选资格、取消村组相关优惠待遇或福利等具体奖励惩戒措施。在不违背法律精神的前提下,</w:t>
      </w:r>
      <w:r>
        <w:rPr>
          <w:rFonts w:hint="eastAsia" w:ascii="仿宋_GB2312" w:hAnsi="仿宋_GB2312" w:eastAsia="仿宋_GB2312" w:cs="仿宋_GB2312"/>
          <w:sz w:val="32"/>
          <w:szCs w:val="32"/>
          <w:lang w:val="en-US" w:eastAsia="zh-CN"/>
        </w:rPr>
        <w:t>通贵乡党委、政府</w:t>
      </w:r>
      <w:r>
        <w:rPr>
          <w:rFonts w:hint="eastAsia" w:ascii="仿宋_GB2312" w:hAnsi="仿宋_GB2312" w:eastAsia="仿宋_GB2312" w:cs="仿宋_GB2312"/>
          <w:sz w:val="32"/>
          <w:szCs w:val="32"/>
        </w:rPr>
        <w:t>对村民委员会实施的惩戒措施提供支持和保障。如:村民违反农村人居环境综合整治相关村规约定的,可采取限期自行整改和收取一定金额的卫生整治费用等措施。(见附件1)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三、全面推行乡村治理积分管理制度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(一)积分制管理的主要对象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乡村治理积分制管理的主要对象是党员、村民、家庭等集体和个人。以户为单位,一户一档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根据村民年龄、职务、身体状况和工作特点,确因身体原因无法参加积分管理的村民,本人自愿并提出申请,经村民(代表)会议同意后,可不参加积分制管理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积分制管理的操作程序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1.完善量化村规民约。</w:t>
      </w:r>
      <w:r>
        <w:rPr>
          <w:rFonts w:hint="eastAsia" w:ascii="仿宋_GB2312" w:hAnsi="仿宋_GB2312" w:eastAsia="仿宋_GB2312" w:cs="仿宋_GB2312"/>
          <w:sz w:val="32"/>
          <w:szCs w:val="32"/>
        </w:rPr>
        <w:t>各村“两委”将修订完善后具体明确的“村规民约”以积分制形式量化出来形成制度,通过以“付出一积累一回报”为主要形式的乡村治理积分卡制度,围绕村容村貌、综合治理、移风易俗、特殊嘉奖等方面内容,结合村实际细化内容、量化指标,设置赋分项、特殊嘉奖项若干项和扣分项,由村民大会表决通过。(见附件2、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2.建立村民积分台账。</w:t>
      </w:r>
      <w:r>
        <w:rPr>
          <w:rFonts w:hint="eastAsia" w:ascii="仿宋_GB2312" w:hAnsi="仿宋_GB2312" w:eastAsia="仿宋_GB2312" w:cs="仿宋_GB2312"/>
          <w:sz w:val="32"/>
          <w:szCs w:val="32"/>
        </w:rPr>
        <w:t>积分实行百分制,由“基础积分+贡献积分”构成。采取月积分、季度积分、年度积分与即时扣分奖励相结合的方式进行。即每周收集整理汇总,每月分批检查整改、每季评比积分公示、年终积分综合排名。基础积分100分,可包括村容村貌、综合治理、移风易俗等方面内容,实行倒扣分制度;贡献积分最高不超过50分,主要包括创先争优、见义勇为、参与志愿服务、各级各类表彰荣誉以及先进事迹等内容给予一定分值的奖励,体现正面引导,奖励先进和模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各村可围绕上述内容建立积分项目体系,也可结合实际需要新增其他积分项目。(见附件4)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3.规范程序科学考评。</w:t>
      </w:r>
      <w:r>
        <w:rPr>
          <w:rFonts w:hint="eastAsia" w:ascii="仿宋_GB2312" w:hAnsi="仿宋_GB2312" w:eastAsia="仿宋_GB2312" w:cs="仿宋_GB2312"/>
          <w:sz w:val="32"/>
          <w:szCs w:val="32"/>
        </w:rPr>
        <w:t>各村成立积分评议小组,可由5至9人单数组成,原则上由党员代表、村民代表、志愿者、网格员村干部等通过召开村民代表大会形式推选产生。具体负责每周根据小组成员平时发现,包户党员和群众反映、报告,个人申报等方式进行积分事项收集整理;</w:t>
      </w:r>
      <w:r>
        <w:rPr>
          <w:rFonts w:hint="eastAsia" w:ascii="仿宋_GB2312" w:hAnsi="仿宋_GB2312" w:eastAsia="仿宋_GB2312" w:cs="仿宋_GB2312"/>
          <w:sz w:val="32"/>
          <w:szCs w:val="32"/>
          <w:lang w:val="en-US" w:eastAsia="zh-CN"/>
        </w:rPr>
        <w:t>以村小组为单位，</w:t>
      </w:r>
      <w:r>
        <w:rPr>
          <w:rFonts w:hint="eastAsia" w:ascii="仿宋_GB2312" w:hAnsi="仿宋_GB2312" w:eastAsia="仿宋_GB2312" w:cs="仿宋_GB2312"/>
          <w:sz w:val="32"/>
          <w:szCs w:val="32"/>
          <w:u w:val="none"/>
          <w:lang w:val="en-US" w:eastAsia="zh-CN"/>
        </w:rPr>
        <w:t>由小组组长带领村民代表、党员代表及志愿者</w:t>
      </w:r>
      <w:r>
        <w:rPr>
          <w:rFonts w:hint="eastAsia" w:ascii="仿宋_GB2312" w:hAnsi="仿宋_GB2312" w:eastAsia="仿宋_GB2312" w:cs="仿宋_GB2312"/>
          <w:sz w:val="32"/>
          <w:szCs w:val="32"/>
          <w:u w:val="none"/>
        </w:rPr>
        <w:t>每月逐户检查评比积分,结合入户(可邀请包户党员参加),对村民家庭室内院落、房前屋后</w:t>
      </w:r>
      <w:r>
        <w:rPr>
          <w:rFonts w:hint="eastAsia" w:ascii="仿宋_GB2312" w:hAnsi="仿宋_GB2312" w:eastAsia="仿宋_GB2312" w:cs="仿宋_GB2312"/>
          <w:sz w:val="32"/>
          <w:szCs w:val="32"/>
        </w:rPr>
        <w:t>卫生秩序进行评比并积分,并根据评议小组积分情况向村民家庭发放积分卡;每季度进行评比积分并通过民主议政日会议、公示栏、微信群等公示积分情况;年终进行积分综合排名。年度综合积分60分以上的为基本合格家庭,70分以上的为达标家庭,80分以上的为星级家庭,90分以上的为文明家庭户。</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以上的文明家庭户可在星级文明户评选中予以相应的加星,60分以下的家庭户将在原有星级的基础上予以相应的减星。评选结果在村民(代表)大会上公布并对外公示。年终村民积分评比结果、帮带包抓的效果要作为党员包户责任制落实和岗位履职情况的重要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积分制管理工作接受村务监督委员会监督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突出结果鲜明导向。</w:t>
      </w:r>
      <w:r>
        <w:rPr>
          <w:rFonts w:hint="eastAsia" w:ascii="仿宋_GB2312" w:hAnsi="仿宋_GB2312" w:eastAsia="仿宋_GB2312" w:cs="仿宋_GB2312"/>
          <w:sz w:val="32"/>
          <w:szCs w:val="32"/>
        </w:rPr>
        <w:t>彰显正向激励,将最终积分与星级文明家庭户评选挂钩。各乡镇、村根据积分管理情况进行星级文明户评定和卫生文明户、家风文明户、守法文明户等专项评定活动。好人好事、评定结果等通过授牌挂牌、“道德红黄蓝榜”公示、荣誉墙、年终评选表彰等多种方式进行通报表扬。并与各类惠民政策相挂钩,作为村民评选入党、扶贫救济、评先评优、家庭成员参军、升学、享受各项政策的先决条件。突出反向惩戒,将违反乡村治理和村规民约行为纳入积分制管理范围,发挥其在乡村治理中的积极作用,对陈规陋习进行治理和约束。对红白事大操大办、不赡养老人等不良现象和行为进行通报批评,责成纠正、扣除积分、限制评选先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可结合实际增加每月积分兑换功能,1积分=1元人民币,由村“两委”统一制作,加盖村委会公章,结合专项检查评比等活动,向村民发放对应积分的积分卡,村民凭借积分卡随时或每月25日到爱心公益超市或村委会组织的集中兑换活动现场兑换等价商品,兑换后将积分卡收回,作为兑换凭据保存,并按月整理进行公示,接受村务监督委员会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(三)推进乡村治理积分制工作安排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于7月底完成修订村规民约的工作,细化完善村规民约积分量化管理细则,全面推行乡村治理积分管理制度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1.组织部署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广泛宣传(2019年6月25日-6月30日)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通贵乡</w:t>
      </w:r>
      <w:r>
        <w:rPr>
          <w:rFonts w:hint="eastAsia" w:ascii="仿宋_GB2312" w:hAnsi="仿宋_GB2312" w:eastAsia="仿宋_GB2312" w:cs="仿宋_GB2312"/>
          <w:sz w:val="32"/>
          <w:szCs w:val="32"/>
        </w:rPr>
        <w:t>修订村规民约开展乡村治理积分制管理工作领导小组,负责指导各村修订村规民约工作,推行乡村治理积分管理制度落实。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长：黄  涛     党委书记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副组长：马鹏斐     党委副书记、政府乡长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杨永平     党委副书记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  瑨     政府副乡长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晨     政府副乡长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员：陈丽峰     党政办主任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王晓华     财经所所长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李霞霞     司法所所长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各村党支部书记、村委会主任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由支部书记任组长主持村规民约修订完善工作,村委会主任为副组长负责细化完善村规民约积分量化管理细则、考评等具体工作。修订完善村规民约按照“两委”提一村民议一乡镇审一村民大会定的基本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各村党组织和村民委员会充分利用广播、显示屏、宣传栏等媒介和深入家庭走访等形式向村民讲清村规民约的性质、作用以及修订完善的重要意义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2.征求意见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修定审查(2019年7月20日前)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各村及时召开村规民约修订工作动员会,通过召开党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员和村民代表会或逐户征求意见的方式,广泛征求村民意见,听取多方意见,形成村规民约修订意见,在村规民约初稿基础上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各村实际情况,采纳村民意见,制定细化村规民约积分量化细则及考评制度等相关文件初稿形成后,先提交村“两委”会议审议;提出修改意见,再提交村民代表会议讨论修改。修改后形成征求意见稿,由村委会在村务公开栏进行公示,并广泛收集意见建议。形成村规民约待审稿,报</w:t>
      </w:r>
      <w:r>
        <w:rPr>
          <w:rFonts w:hint="eastAsia" w:ascii="仿宋_GB2312" w:hAnsi="仿宋_GB2312" w:eastAsia="仿宋_GB2312" w:cs="仿宋_GB2312"/>
          <w:sz w:val="32"/>
          <w:szCs w:val="32"/>
          <w:lang w:val="en-US" w:eastAsia="zh-CN"/>
        </w:rPr>
        <w:t>通贵乡司法所</w:t>
      </w:r>
      <w:r>
        <w:rPr>
          <w:rFonts w:hint="eastAsia" w:ascii="仿宋_GB2312" w:hAnsi="仿宋_GB2312" w:eastAsia="仿宋_GB2312" w:cs="仿宋_GB2312"/>
          <w:sz w:val="32"/>
          <w:szCs w:val="32"/>
        </w:rPr>
        <w:t>进行合法性审查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3.民主表决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会议通过(2019年7月20日—7月28日)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村委会按照法律规定,召开村民会议对村规民约修订意见及积分量化细则、考评制度进行表决。须由本村过半数18周岁以上村民或2/3以上户代表参加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可以村民小组为单位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,并经参加人员过半数同意通过。表决通过后,村“两委”于10日内报</w:t>
      </w:r>
      <w:r>
        <w:rPr>
          <w:rFonts w:hint="eastAsia" w:ascii="仿宋_GB2312" w:hAnsi="仿宋_GB2312" w:eastAsia="仿宋_GB2312" w:cs="仿宋_GB2312"/>
          <w:sz w:val="32"/>
          <w:szCs w:val="32"/>
          <w:lang w:val="en-US" w:eastAsia="zh-CN"/>
        </w:rPr>
        <w:t>通贵乡</w:t>
      </w:r>
      <w:r>
        <w:rPr>
          <w:rFonts w:hint="eastAsia" w:ascii="仿宋_GB2312" w:hAnsi="仿宋_GB2312" w:eastAsia="仿宋_GB2312" w:cs="仿宋_GB2312"/>
          <w:sz w:val="32"/>
          <w:szCs w:val="32"/>
        </w:rPr>
        <w:t>政府备案审查。如果表决不能通过,需要再次征求村民意见,修改后再行表决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4.备案审查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公布执行(2019年7月30日前)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通贵乡司法所</w:t>
      </w:r>
      <w:r>
        <w:rPr>
          <w:rFonts w:hint="eastAsia" w:ascii="仿宋_GB2312" w:hAnsi="仿宋_GB2312" w:eastAsia="仿宋_GB2312" w:cs="仿宋_GB2312"/>
          <w:sz w:val="32"/>
          <w:szCs w:val="32"/>
        </w:rPr>
        <w:t>对表决通过的村规民约及村规民约积分量化管理细则再次进行合法性审查,审查通过后出具备案通知书。并由村张贴公布并印发各户。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各村将备案后的村规民约在村公示栏、文化活动广场、小组(小区)等场所长期张榜公布,确保家喻户晓,遵照执行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5.分户建档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组织实施(2019年8月20日前)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以家庭为单位,实行一户一档,建立辖区村民积分档案。按考核细则约定内容执行情况给予加减分,每季度将积分进行一次统计公示。采取村委会监督与村民监督相结合的方式,保证积分考核执行效力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四、推进措施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(一)加强组织领导,强化经费保障。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村规民约”,推行乡村治理积分管理制度,是强化乡村治理的载体、创新农村自治有效管理形式。要发挥村“两委”的主导作用,把好村规民约修订关、审查关,按照要求抓好组织实施。要将乡村治理积分制管理工作与发挥党员先锋模范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推行党员“亮身份作表率”包户责任制工作结合起来;坚持与乡村振兴、乡村环境综合整治等工作统筹推进,形成上下联动、齐抓共管的工作格局。积分制管理所需的经费由财政预算各村工作经费中列支</w:t>
      </w:r>
      <w:r>
        <w:rPr>
          <w:rFonts w:hint="eastAsia" w:ascii="仿宋_GB2312" w:hAnsi="仿宋_GB2312" w:eastAsia="仿宋_GB2312" w:cs="仿宋_GB2312"/>
          <w:sz w:val="32"/>
          <w:szCs w:val="32"/>
          <w:lang w:val="en-US" w:eastAsia="zh-CN"/>
        </w:rPr>
        <w:t>一部分</w:t>
      </w:r>
      <w:r>
        <w:rPr>
          <w:rFonts w:hint="eastAsia" w:ascii="仿宋_GB2312" w:hAnsi="仿宋_GB2312" w:eastAsia="仿宋_GB2312" w:cs="仿宋_GB2312"/>
          <w:sz w:val="32"/>
          <w:szCs w:val="32"/>
        </w:rPr>
        <w:t>,并通过争取相关部门支持,吸引社会捐赠等办法,多元化多渠道筹集奖励兑现经费。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(二)深入调查研究,制定实施方案。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坚持问需于民、问计于民,广泛征求群众意见建议,制定切实可行的操作方案和实施细则,紧扣社会治安综合治理、人居环境卫生、公共基础设施移风易俗、家庭美德等热点难点,突出村规民约的针对性、实用性和可操作性,增强积分制管理的吸引力和影响力。乡司法所结合“一村一法律顾问”要求,发挥驻村法律顾问在修订完善村规民约中审核把关的专业作用,对违反法律法规、违背国家政策、超权限范围、规定不适当的惩罚措施予以制止,整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加强宣传引导,营造浓厚氛围。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要组织人员入组入户开展面对面宣传,将积分制管理工作理念、积分项目、积分标准积分奖励等融入群众喜闻乐见活动中,激发群众参与热情;年底,区委组织部、文明办、民政局要组织开展“优秀村规民约”评选活动,选树10个兴庆区优秀村规民约和积分制管理经典案例;宣传部要加大新闻媒体宣传力度,提升群众知晓率和参与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1.村规民约修订参考样例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2村民会议决议参考样例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3村规民公约党员、村民签字参考样例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4村规民约对标量化表参考样例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rPr>
        <w:t>村规民约修订参考样例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为提高村民自我管理、自我教育、自我约束能力,培养良好村风民风,根据国家法律、法规和有关政策规定,结合本村实际,经全体村民会议讨论通过,制定本村村规民约,共同遵守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维护全村和谐稳定,守楼护院,安居乐业。不偷不盗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不抢不贪、不吸毒贩毒,不阻碍公务,违反规定个人被追责,全村要通报,家庭受连累,积分一次扣50分,颜面全扫光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村民之间要做到:互尊、互爱、互助。好邻里和谐处,纠纷矛盾好商量。反对迷信不文明,争创五好文明家庭户、遵纪守法好人好事上红榜,门前挂牌荣誉高,各类优惠先考虑,积分</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次奖励20分,兑换实物真实惠;不良行为全村通报上黄榜,各类先进评选不考虑,包户党员做工作,积分一次扣10分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持村庄巷道、房前屋后环境卫生。不乱倒垃圾,柴草堆放要有序,人畜分离讲卫生,病死禽畜不乱埋。秸秆、垃圾处理要妥善,不准露天去焚烧,要循环利用。环境卫生搞不好发现一次扣除积分10分,全村通报批评,包户党员做工作,限期自行清理,严重的还要收取环境卫生处理费100元至400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日常生活要注意,用水、用电、用火讲安全,教育子女要遵守,不在河沟游泳玩要、不在在高压线下钓鱼,违反规定全村要通报,积分一次扣10分;发现安全问题及时报告并协助村委会处置,积分一次奖励10分,可兑现实物。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道路、塘、库、提灌站,支沟毛渠供电线,公共设施很重要,谁受益、谁负担、谁管理、谁维修、谁损坏、谁赔偿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公路上面不许晒粮食,挖路损坏财物更不行,如有损坏按价赔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故意损坏的加价赔偿100元至200元,积分一次扣10分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遵守交规很重要,不超载、不超速、酒后驾车无证驾驶要不得,伤人伤己都不好,人财两空最失算,全村通报颜面无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积分一次扣20分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村民建房要合规,要经村委会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乡政府</w:t>
      </w:r>
      <w:r>
        <w:rPr>
          <w:rFonts w:hint="eastAsia" w:ascii="仿宋_GB2312" w:hAnsi="仿宋_GB2312" w:eastAsia="仿宋_GB2312" w:cs="仿宋_GB2312"/>
          <w:sz w:val="32"/>
          <w:szCs w:val="32"/>
        </w:rPr>
        <w:t>和有关部门批准方可建,自觉服从整体规划,不得违规乱建乱搭,未经批准乱修乱盖,包户党员做工作,责令自行拆除,造成经济损失,后果要自负。全村通报颜面无,积分一次扣20分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父母应尽抚养、教育未成年子女的义务,子女应尽赡养老人的义务。不得虐待老人和子女,违反规定教育不悔改,要承担法律责任,全村通报上黄榜,包户党员做工作,各类先进评选不考虑,积分一次扣10分。好公婆好媳妇先进事迹要宣传,各类优惠先考虑,积分一次奖励20分,兑换实物真实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自觉遵守计划生育政策,提倡晚婚晚育,少生优育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子女教育上大学先进事迹要宣传,各类优惠帮扶政策先考虑,积分一次奖励30分,兑换实物真实惠。违反政策全村通报上黄榜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包户党员做工作,自觉接受计生处罚,各类先进评选不考虑,积分一次扣10分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动物管理防疫要配合。犬只禽畜栓养圈养要防疫。包户党员做工作,不栓养、不圈养,不防疫的犬只咬伤人的,养犬户承担医药费和全部责任;放养禽畜给他人造成损失的,照价要赔偿,积分一次扣10分。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遵守信访条例,反映问题要合理,诉求依法来解决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咨询政策求帮助,包户党员做工作,先到村委来求助,告知村干部,村上能解决的村上解决,村上不能解决的村上报乡镇党委和政府。村委会召开村民代表会议对上访理由进行评议,不理性的进行批评教育。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革除丧葬陋习讲科学,破除迷信改陋习;红白喜事要新办,厚养薄葬树新风,包户党员做工作,不得铺张浪费讲排场、反对大操大办来攀比。亲朋摆席不超过10桌100人,菜品酒水每桌300元,人均礼金100元,婚丧事务要报告,红白理事会来监督,超过规定全村通报上黄榜,积分一次扣20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兴庆区xx乡(镇)x村第</w:t>
      </w:r>
      <w:r>
        <w:rPr>
          <w:rFonts w:hint="eastAsia" w:ascii="黑体" w:hAnsi="黑体" w:eastAsia="黑体" w:cs="黑体"/>
          <w:b/>
          <w:bCs/>
          <w:sz w:val="44"/>
          <w:szCs w:val="44"/>
          <w:lang w:val="en-US" w:eastAsia="zh-CN"/>
        </w:rPr>
        <w:t>五</w:t>
      </w:r>
      <w:r>
        <w:rPr>
          <w:rFonts w:hint="eastAsia" w:ascii="黑体" w:hAnsi="黑体" w:eastAsia="黑体" w:cs="黑体"/>
          <w:b/>
          <w:bCs/>
          <w:sz w:val="44"/>
          <w:szCs w:val="44"/>
        </w:rPr>
        <w:t>届村民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会议决议(参考样例)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经过x村第</w:t>
      </w:r>
      <w:r>
        <w:rPr>
          <w:rFonts w:hint="eastAsia" w:ascii="仿宋" w:hAnsi="仿宋" w:eastAsia="仿宋" w:cs="仿宋"/>
          <w:sz w:val="32"/>
          <w:szCs w:val="32"/>
          <w:lang w:val="en-US" w:eastAsia="zh-CN"/>
        </w:rPr>
        <w:t>五</w:t>
      </w:r>
      <w:r>
        <w:rPr>
          <w:rFonts w:hint="eastAsia" w:ascii="仿宋" w:hAnsi="仿宋" w:eastAsia="仿宋" w:cs="仿宋"/>
          <w:sz w:val="32"/>
          <w:szCs w:val="32"/>
        </w:rPr>
        <w:t>届村民委员会会议讨论研究认为:第</w:t>
      </w:r>
      <w:r>
        <w:rPr>
          <w:rFonts w:hint="eastAsia" w:ascii="仿宋" w:hAnsi="仿宋" w:eastAsia="仿宋" w:cs="仿宋"/>
          <w:sz w:val="32"/>
          <w:szCs w:val="32"/>
          <w:lang w:val="en-US" w:eastAsia="zh-CN"/>
        </w:rPr>
        <w:t>五</w:t>
      </w:r>
      <w:r>
        <w:rPr>
          <w:rFonts w:hint="eastAsia" w:ascii="仿宋" w:hAnsi="仿宋" w:eastAsia="仿宋" w:cs="仿宋"/>
          <w:sz w:val="32"/>
          <w:szCs w:val="32"/>
        </w:rPr>
        <w:t>届村民委员会所制定施行的《xx村村规民约》符合我村的实际情况。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因此,决定第</w:t>
      </w:r>
      <w:r>
        <w:rPr>
          <w:rFonts w:hint="eastAsia" w:ascii="仿宋" w:hAnsi="仿宋" w:eastAsia="仿宋" w:cs="仿宋"/>
          <w:sz w:val="32"/>
          <w:szCs w:val="32"/>
          <w:lang w:val="en-US" w:eastAsia="zh-CN"/>
        </w:rPr>
        <w:t>五</w:t>
      </w:r>
      <w:r>
        <w:rPr>
          <w:rFonts w:hint="eastAsia" w:ascii="仿宋" w:hAnsi="仿宋" w:eastAsia="仿宋" w:cs="仿宋"/>
          <w:sz w:val="32"/>
          <w:szCs w:val="32"/>
        </w:rPr>
        <w:t>村民委员会今后的工作及管理依照第</w:t>
      </w:r>
      <w:r>
        <w:rPr>
          <w:rFonts w:hint="eastAsia" w:ascii="仿宋" w:hAnsi="仿宋" w:eastAsia="仿宋" w:cs="仿宋"/>
          <w:sz w:val="32"/>
          <w:szCs w:val="32"/>
          <w:lang w:val="en-US" w:eastAsia="zh-CN"/>
        </w:rPr>
        <w:t>五</w:t>
      </w:r>
      <w:r>
        <w:rPr>
          <w:rFonts w:hint="eastAsia" w:ascii="仿宋" w:hAnsi="仿宋" w:eastAsia="仿宋" w:cs="仿宋"/>
          <w:sz w:val="32"/>
          <w:szCs w:val="32"/>
        </w:rPr>
        <w:t>届村民委员会施行的《xx村村规民约》执行。望全体村民遵照执行</w:t>
      </w:r>
      <w:r>
        <w:rPr>
          <w:rFonts w:hint="eastAsia" w:ascii="仿宋" w:hAnsi="仿宋" w:eastAsia="仿宋" w:cs="仿宋"/>
          <w:sz w:val="32"/>
          <w:szCs w:val="32"/>
          <w:lang w:eastAsia="zh-CN"/>
        </w:rPr>
        <w:t>，</w:t>
      </w:r>
      <w:r>
        <w:rPr>
          <w:rFonts w:hint="eastAsia" w:ascii="仿宋" w:hAnsi="仿宋" w:eastAsia="仿宋" w:cs="仿宋"/>
          <w:sz w:val="32"/>
          <w:szCs w:val="32"/>
        </w:rPr>
        <w:t>经村民签字通过后开始施行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xx村村民委员会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年xx月xx日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兴庆区通贵乡</w:t>
      </w:r>
      <w:r>
        <w:rPr>
          <w:rFonts w:hint="eastAsia" w:ascii="黑体" w:hAnsi="黑体" w:eastAsia="黑体" w:cs="黑体"/>
          <w:b/>
          <w:bCs/>
          <w:sz w:val="44"/>
          <w:szCs w:val="44"/>
        </w:rPr>
        <w:t>xx</w:t>
      </w:r>
      <w:r>
        <w:rPr>
          <w:rFonts w:hint="eastAsia" w:ascii="黑体" w:hAnsi="黑体" w:eastAsia="黑体" w:cs="黑体"/>
          <w:b/>
          <w:bCs/>
          <w:sz w:val="44"/>
          <w:szCs w:val="44"/>
          <w:lang w:val="en-US" w:eastAsia="zh-CN"/>
        </w:rPr>
        <w:t>村村规民约党员、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村民签字（参考样例）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44"/>
          <w:szCs w:val="44"/>
          <w:lang w:val="en-US" w:eastAsia="zh-CN"/>
        </w:rPr>
      </w:pP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201"/>
        <w:gridCol w:w="929"/>
        <w:gridCol w:w="1065"/>
        <w:gridCol w:w="1065"/>
        <w:gridCol w:w="13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1"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仿宋" w:cs="黑体"/>
                <w:sz w:val="44"/>
                <w:szCs w:val="44"/>
                <w:vertAlign w:val="baseline"/>
                <w:lang w:val="en-US" w:eastAsia="zh-CN"/>
              </w:rPr>
            </w:pPr>
            <w:r>
              <w:rPr>
                <w:rFonts w:hint="eastAsia" w:ascii="仿宋" w:hAnsi="仿宋" w:eastAsia="仿宋" w:cs="仿宋"/>
                <w:sz w:val="32"/>
                <w:szCs w:val="32"/>
              </w:rPr>
              <w:t>xx</w:t>
            </w:r>
            <w:r>
              <w:rPr>
                <w:rFonts w:hint="eastAsia" w:ascii="仿宋" w:hAnsi="仿宋" w:eastAsia="仿宋" w:cs="仿宋"/>
                <w:sz w:val="32"/>
                <w:szCs w:val="32"/>
                <w:lang w:val="en-US" w:eastAsia="zh-CN"/>
              </w:rPr>
              <w:t>村规民约党员签字决议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同意</w:t>
            </w: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不同意</w:t>
            </w: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弃权</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同意</w:t>
            </w: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不同意</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tbl>
      <w:tblPr>
        <w:tblStyle w:val="7"/>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201"/>
        <w:gridCol w:w="929"/>
        <w:gridCol w:w="1065"/>
        <w:gridCol w:w="1065"/>
        <w:gridCol w:w="13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1"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仿宋" w:cs="黑体"/>
                <w:sz w:val="44"/>
                <w:szCs w:val="44"/>
                <w:vertAlign w:val="baseline"/>
                <w:lang w:val="en-US" w:eastAsia="zh-CN"/>
              </w:rPr>
            </w:pPr>
            <w:r>
              <w:rPr>
                <w:rFonts w:hint="eastAsia" w:ascii="仿宋" w:hAnsi="仿宋" w:eastAsia="仿宋" w:cs="仿宋"/>
                <w:sz w:val="32"/>
                <w:szCs w:val="32"/>
              </w:rPr>
              <w:t>xx</w:t>
            </w:r>
            <w:r>
              <w:rPr>
                <w:rFonts w:hint="eastAsia" w:ascii="仿宋" w:hAnsi="仿宋" w:eastAsia="仿宋" w:cs="仿宋"/>
                <w:sz w:val="32"/>
                <w:szCs w:val="32"/>
                <w:lang w:val="en-US" w:eastAsia="zh-CN"/>
              </w:rPr>
              <w:t>村规民约村民签字决议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同意</w:t>
            </w: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不同意</w:t>
            </w: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弃权</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同意</w:t>
            </w: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不同意</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201"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13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村规民约对标量化表（样例）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44"/>
          <w:szCs w:val="44"/>
          <w:lang w:val="en-US" w:eastAsia="zh-CN"/>
        </w:rPr>
      </w:pPr>
    </w:p>
    <w:tbl>
      <w:tblPr>
        <w:tblStyle w:val="7"/>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725"/>
        <w:gridCol w:w="869"/>
        <w:gridCol w:w="1561"/>
        <w:gridCol w:w="569"/>
        <w:gridCol w:w="1621"/>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1"/>
                <w:szCs w:val="21"/>
                <w:vertAlign w:val="baseline"/>
                <w:lang w:val="en-US" w:eastAsia="zh-CN"/>
              </w:rPr>
              <w:t xml:space="preserve">积分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bCs/>
                <w:i w:val="0"/>
                <w:iCs w:val="0"/>
                <w:sz w:val="40"/>
                <w:szCs w:val="40"/>
                <w:lang w:val="en-US" w:eastAsia="zh-CN"/>
              </w:rPr>
            </w:pPr>
            <w:r>
              <w:rPr>
                <w:rFonts w:hint="eastAsia" w:ascii="仿宋" w:hAnsi="仿宋" w:eastAsia="仿宋" w:cs="仿宋"/>
                <w:b/>
                <w:bCs/>
                <w:i w:val="0"/>
                <w:iCs w:val="0"/>
                <w:sz w:val="21"/>
                <w:szCs w:val="21"/>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4"/>
                <w:szCs w:val="24"/>
                <w:lang w:val="en-US" w:eastAsia="zh-CN"/>
              </w:rPr>
              <w:t>积分参考标准</w:t>
            </w:r>
          </w:p>
        </w:tc>
        <w:tc>
          <w:tcPr>
            <w:tcW w:w="8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4"/>
                <w:szCs w:val="24"/>
                <w:lang w:val="en-US" w:eastAsia="zh-CN"/>
              </w:rPr>
              <w:t>参考积分</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2"/>
                <w:szCs w:val="22"/>
                <w:lang w:val="en-US" w:eastAsia="zh-CN"/>
              </w:rPr>
              <w:t>扣分参考标准</w:t>
            </w:r>
          </w:p>
        </w:tc>
        <w:tc>
          <w:tcPr>
            <w:tcW w:w="5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2"/>
                <w:szCs w:val="22"/>
                <w:lang w:val="en-US" w:eastAsia="zh-CN"/>
              </w:rPr>
              <w:t>扣分</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2"/>
                <w:szCs w:val="22"/>
                <w:lang w:val="en-US" w:eastAsia="zh-CN"/>
              </w:rPr>
              <w:t>包户党员落实责任情况（10分）</w:t>
            </w:r>
          </w:p>
        </w:tc>
        <w:tc>
          <w:tcPr>
            <w:tcW w:w="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i w:val="0"/>
                <w:iCs w:val="0"/>
                <w:sz w:val="21"/>
                <w:szCs w:val="21"/>
                <w:vertAlign w:val="baseline"/>
                <w:lang w:val="en-US" w:eastAsia="zh-CN"/>
              </w:rPr>
            </w:pPr>
            <w:r>
              <w:rPr>
                <w:rFonts w:hint="eastAsia" w:ascii="仿宋" w:hAnsi="仿宋" w:eastAsia="仿宋" w:cs="仿宋"/>
                <w:b/>
                <w:bCs/>
                <w:i w:val="0"/>
                <w:iCs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村容村貌</w:t>
            </w: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综合治理</w:t>
            </w: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移风易俗</w:t>
            </w: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特殊嘉奖</w:t>
            </w: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69"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c>
          <w:tcPr>
            <w:tcW w:w="511"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乡村治理积分制管理由“基础积分+贡献积分”构成，基础积分100分，可包括村容村貌、综合治理、移风易俗等方面内容，实行倒扣分制度；贡献积分最高不超过50分，主要包括创先争优、见义勇为、参与志愿服务、各级各类表彰荣誉以及先进事迹等内容，给于一定分值的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2.党员包户责任制实行量化打分，满分10分，6分以下为发挥作用不合格，6-8分为发挥作用良好，8-10分为发挥作用优秀。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3.根据以上4个方面内容，结合各村实际，自行设置加分、扣分项，行、列数可自行增加。</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EC95B"/>
    <w:multiLevelType w:val="singleLevel"/>
    <w:tmpl w:val="6BDEC95B"/>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461B7"/>
    <w:rsid w:val="265461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2019-08-26T07:41:00Z</dcterms:created>
  <dc:creator>Administrator</dc:creator>
  <cp:lastModifiedBy>Administrator</cp:lastModifiedBy>
  <dcterms:modified xsi:type="dcterms:W3CDTF">2019-08-26T07:42:04Z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