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4FB8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color w:val="auto"/>
          <w:sz w:val="44"/>
          <w:szCs w:val="44"/>
          <w:lang w:val="en-US" w:eastAsia="zh-CN"/>
        </w:rPr>
        <w:t>银川市兴庆区通贵乡</w:t>
      </w:r>
      <w:r>
        <w:rPr>
          <w:rFonts w:hint="eastAsia" w:ascii="方正小标宋简体" w:hAnsi="方正小标宋简体" w:eastAsia="方正小标宋简体" w:cs="方正小标宋简体"/>
          <w:sz w:val="44"/>
          <w:szCs w:val="44"/>
        </w:rPr>
        <w:t>司家桥村休闲采摘园</w:t>
      </w:r>
    </w:p>
    <w:p w14:paraId="12D9AB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b w:val="0"/>
          <w:bCs w:val="0"/>
          <w:color w:val="auto"/>
          <w:sz w:val="44"/>
          <w:szCs w:val="44"/>
          <w:lang w:val="en-US" w:eastAsia="zh-CN"/>
        </w:rPr>
        <w:t>绩效自评报告</w:t>
      </w:r>
    </w:p>
    <w:p w14:paraId="4BFA67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lang w:eastAsia="zh-CN"/>
        </w:rPr>
        <w:t>一、</w:t>
      </w:r>
      <w:r>
        <w:rPr>
          <w:rFonts w:hint="eastAsia" w:ascii="黑体" w:hAnsi="黑体" w:eastAsia="黑体" w:cs="黑体"/>
          <w:b w:val="0"/>
          <w:bCs w:val="0"/>
          <w:color w:val="auto"/>
          <w:sz w:val="32"/>
          <w:szCs w:val="32"/>
        </w:rPr>
        <w:t>绩效目标分解下达情况</w:t>
      </w:r>
    </w:p>
    <w:p w14:paraId="61C78EE7">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_GB2312" w:hAnsi="仿宋_GB2312" w:eastAsia="仿宋_GB2312" w:cs="仿宋_GB2312"/>
          <w:sz w:val="32"/>
          <w:szCs w:val="32"/>
          <w:lang w:val="en-US" w:eastAsia="zh-CN"/>
        </w:rPr>
      </w:pPr>
      <w:bookmarkStart w:id="1" w:name="_GoBack"/>
      <w:bookmarkEnd w:id="1"/>
      <w:r>
        <w:rPr>
          <w:rFonts w:hint="eastAsia" w:ascii="仿宋_GB2312" w:hAnsi="仿宋_GB2312" w:eastAsia="仿宋_GB2312" w:cs="仿宋_GB2312"/>
          <w:sz w:val="32"/>
          <w:szCs w:val="32"/>
          <w:lang w:val="en-US" w:eastAsia="zh-CN"/>
        </w:rPr>
        <w:t>通贵乡聚焦粮食、瓜菜、畜禽、水产等优势特色产业，合理确定公共基础设施配置和基本公共服务标准，计划在通贵乡司家桥村休闲采摘园项目。</w:t>
      </w:r>
    </w:p>
    <w:p w14:paraId="07420B4A">
      <w:pPr>
        <w:pStyle w:val="8"/>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0" w:leftChars="0" w:firstLine="640"/>
        <w:jc w:val="both"/>
        <w:textAlignment w:val="auto"/>
        <w:rPr>
          <w:rFonts w:hint="eastAsia" w:ascii="黑体" w:hAnsi="黑体" w:eastAsia="黑体" w:cs="黑体"/>
          <w:b w:val="0"/>
          <w:bCs w:val="0"/>
          <w:color w:val="0000FF"/>
          <w:sz w:val="32"/>
          <w:szCs w:val="32"/>
          <w:lang w:val="en-US" w:eastAsia="zh-CN"/>
        </w:rPr>
      </w:pPr>
      <w:r>
        <w:rPr>
          <w:rFonts w:hint="eastAsia" w:ascii="Times New Roman" w:hAnsi="Times New Roman"/>
          <w:sz w:val="32"/>
          <w:lang w:val="en-US" w:eastAsia="zh-CN"/>
        </w:rPr>
        <w:t>根据</w:t>
      </w:r>
      <w:r>
        <w:rPr>
          <w:rFonts w:hint="eastAsia"/>
          <w:sz w:val="32"/>
          <w:lang w:val="en-US" w:eastAsia="zh-CN"/>
        </w:rPr>
        <w:t>《关于印发&lt;兴庆区2023年度第一批财政衔接推进乡村振兴补助资金使用分配计划&gt;的通知》银兴党农发</w:t>
      </w:r>
      <w:r>
        <w:rPr>
          <w:rFonts w:hint="eastAsia" w:ascii="微软雅黑" w:hAnsi="微软雅黑" w:eastAsia="微软雅黑" w:cs="微软雅黑"/>
          <w:sz w:val="32"/>
          <w:lang w:val="en-US" w:eastAsia="zh-CN"/>
        </w:rPr>
        <w:t>[</w:t>
      </w:r>
      <w:r>
        <w:rPr>
          <w:rFonts w:hint="eastAsia" w:ascii="仿宋_GB2312" w:hAnsi="仿宋_GB2312" w:cs="仿宋_GB2312"/>
          <w:sz w:val="32"/>
          <w:lang w:val="en-US" w:eastAsia="zh-CN"/>
        </w:rPr>
        <w:t>2023</w:t>
      </w:r>
      <w:r>
        <w:rPr>
          <w:rFonts w:hint="eastAsia" w:ascii="微软雅黑" w:hAnsi="微软雅黑" w:eastAsia="微软雅黑" w:cs="微软雅黑"/>
          <w:sz w:val="32"/>
          <w:lang w:val="en-US" w:eastAsia="zh-CN"/>
        </w:rPr>
        <w:t>]</w:t>
      </w:r>
      <w:r>
        <w:rPr>
          <w:rFonts w:hint="eastAsia" w:ascii="仿宋_GB2312" w:hAnsi="仿宋_GB2312" w:cs="仿宋_GB2312"/>
          <w:sz w:val="32"/>
          <w:lang w:val="en-US" w:eastAsia="zh-CN"/>
        </w:rPr>
        <w:t>1号文件</w:t>
      </w:r>
      <w:r>
        <w:rPr>
          <w:rFonts w:hint="eastAsia"/>
          <w:sz w:val="32"/>
          <w:lang w:val="en-US" w:eastAsia="zh-CN"/>
        </w:rPr>
        <w:t>，下达</w:t>
      </w:r>
      <w:r>
        <w:rPr>
          <w:rFonts w:hint="eastAsia" w:ascii="仿宋_GB2312" w:hAnsi="仿宋_GB2312" w:eastAsia="仿宋_GB2312" w:cs="仿宋_GB2312"/>
          <w:sz w:val="32"/>
          <w:szCs w:val="32"/>
          <w:lang w:val="en-US" w:eastAsia="zh-CN"/>
        </w:rPr>
        <w:t>通贵乡司家桥村休闲采摘园项目</w:t>
      </w:r>
      <w:r>
        <w:rPr>
          <w:rFonts w:hint="eastAsia" w:ascii="仿宋_GB2312" w:hAnsi="仿宋_GB2312" w:cs="仿宋_GB2312"/>
          <w:sz w:val="32"/>
          <w:szCs w:val="32"/>
          <w:lang w:val="en-US" w:eastAsia="zh-CN"/>
        </w:rPr>
        <w:t>资金240.7117万元，</w:t>
      </w:r>
      <w:r>
        <w:rPr>
          <w:rFonts w:hint="eastAsia" w:hAnsi="Times New Roman"/>
          <w:sz w:val="32"/>
          <w:lang w:val="en-US" w:eastAsia="zh-CN"/>
        </w:rPr>
        <w:t>主要</w:t>
      </w:r>
      <w:r>
        <w:rPr>
          <w:rFonts w:hint="eastAsia" w:ascii="Times New Roman" w:hAnsi="Times New Roman"/>
          <w:sz w:val="32"/>
          <w:lang w:val="en-US" w:eastAsia="zh-CN"/>
        </w:rPr>
        <w:t>用于</w:t>
      </w:r>
      <w:r>
        <w:rPr>
          <w:rFonts w:hint="eastAsia" w:ascii="Times New Roman" w:hAnsi="Times New Roman" w:cs="仿宋_GB2312"/>
          <w:snapToGrid/>
          <w:color w:val="auto"/>
          <w:kern w:val="2"/>
          <w:sz w:val="32"/>
          <w:szCs w:val="32"/>
          <w:lang w:val="en-US" w:eastAsia="zh-CN"/>
        </w:rPr>
        <w:t>巩固拓展脱贫攻坚成果和推进乡村振兴</w:t>
      </w:r>
      <w:r>
        <w:rPr>
          <w:rFonts w:hint="eastAsia" w:ascii="Times New Roman" w:hAnsi="Times New Roman"/>
          <w:sz w:val="32"/>
          <w:lang w:val="en-US" w:eastAsia="zh-CN"/>
        </w:rPr>
        <w:t>。兴庆区</w:t>
      </w:r>
      <w:r>
        <w:rPr>
          <w:rFonts w:hint="eastAsia"/>
          <w:sz w:val="32"/>
          <w:lang w:val="en-US" w:eastAsia="zh-CN"/>
        </w:rPr>
        <w:t>通贵乡</w:t>
      </w:r>
      <w:r>
        <w:rPr>
          <w:rFonts w:hint="eastAsia" w:ascii="Times New Roman" w:hAnsi="Times New Roman"/>
          <w:sz w:val="32"/>
          <w:lang w:val="en-US" w:eastAsia="zh-CN"/>
        </w:rPr>
        <w:t>根据资金使用方向，分解下达绩效目标要求</w:t>
      </w:r>
      <w:r>
        <w:rPr>
          <w:rFonts w:hint="eastAsia" w:ascii="Times New Roman" w:hAnsi="Times New Roman"/>
          <w:color w:val="000000"/>
          <w:sz w:val="32"/>
          <w:lang w:val="en-US" w:eastAsia="zh-CN"/>
        </w:rPr>
        <w:t>，绩效目标如下：</w:t>
      </w:r>
    </w:p>
    <w:p w14:paraId="3F6E2720">
      <w:pPr>
        <w:keepNext w:val="0"/>
        <w:keepLines w:val="0"/>
        <w:pageBreakBefore w:val="0"/>
        <w:widowControl w:val="0"/>
        <w:numPr>
          <w:ilvl w:val="0"/>
          <w:numId w:val="1"/>
        </w:numPr>
        <w:tabs>
          <w:tab w:val="left" w:pos="553"/>
        </w:tabs>
        <w:kinsoku/>
        <w:wordWrap/>
        <w:overflowPunct/>
        <w:topLinePunct w:val="0"/>
        <w:autoSpaceDE/>
        <w:autoSpaceDN/>
        <w:bidi w:val="0"/>
        <w:adjustRightInd/>
        <w:spacing w:line="600" w:lineRule="exact"/>
        <w:ind w:right="0" w:rightChars="0" w:firstLine="640" w:firstLineChars="200"/>
        <w:jc w:val="both"/>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绩效目标完成情况分析</w:t>
      </w:r>
    </w:p>
    <w:p w14:paraId="5D76AF86">
      <w:pPr>
        <w:pStyle w:val="11"/>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both"/>
        <w:textAlignment w:val="auto"/>
        <w:rPr>
          <w:rFonts w:hint="eastAsia" w:ascii="楷体_GB2312" w:hAnsi="楷体_GB2312" w:eastAsia="楷体_GB2312" w:cs="楷体_GB2312"/>
          <w:b/>
          <w:bCs/>
          <w:snapToGrid/>
          <w:color w:val="auto"/>
          <w:kern w:val="2"/>
          <w:sz w:val="32"/>
          <w:szCs w:val="32"/>
        </w:rPr>
      </w:pPr>
      <w:r>
        <w:rPr>
          <w:rFonts w:hint="eastAsia" w:ascii="楷体_GB2312" w:hAnsi="楷体_GB2312" w:eastAsia="楷体_GB2312" w:cs="楷体_GB2312"/>
          <w:b/>
          <w:bCs/>
          <w:snapToGrid/>
          <w:color w:val="auto"/>
          <w:kern w:val="2"/>
          <w:sz w:val="32"/>
          <w:szCs w:val="32"/>
        </w:rPr>
        <w:t>（一）资金投入情况分析。</w:t>
      </w:r>
    </w:p>
    <w:p w14:paraId="3561EDB1">
      <w:pPr>
        <w:pStyle w:val="11"/>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both"/>
        <w:textAlignment w:val="auto"/>
        <w:rPr>
          <w:rFonts w:hint="eastAsia" w:ascii="Times New Roman" w:hAnsi="Times New Roman" w:eastAsia="仿宋_GB2312" w:cs="仿宋_GB2312"/>
          <w:snapToGrid/>
          <w:color w:val="auto"/>
          <w:kern w:val="2"/>
          <w:sz w:val="32"/>
          <w:szCs w:val="32"/>
        </w:rPr>
      </w:pPr>
      <w:r>
        <w:rPr>
          <w:rFonts w:hint="eastAsia" w:ascii="Times New Roman" w:hAnsi="Times New Roman" w:eastAsia="仿宋_GB2312" w:cs="仿宋_GB2312"/>
          <w:snapToGrid/>
          <w:color w:val="auto"/>
          <w:kern w:val="2"/>
          <w:sz w:val="32"/>
          <w:szCs w:val="32"/>
        </w:rPr>
        <w:t>1.项目资金到位情况分析。</w:t>
      </w:r>
    </w:p>
    <w:p w14:paraId="63838A1D">
      <w:pPr>
        <w:pStyle w:val="11"/>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2023年度第一批财政衔接推进乡村振兴补助资金240.7117万元，资金到位率100%。</w:t>
      </w:r>
    </w:p>
    <w:p w14:paraId="1780B4DE">
      <w:pPr>
        <w:pStyle w:val="11"/>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2.项目资金执行情况分析。</w:t>
      </w:r>
    </w:p>
    <w:p w14:paraId="7028FB97">
      <w:pPr>
        <w:pStyle w:val="11"/>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both"/>
        <w:textAlignment w:val="auto"/>
        <w:rPr>
          <w:rFonts w:hint="default" w:ascii="仿宋" w:hAnsi="仿宋" w:eastAsia="仿宋" w:cs="仿宋"/>
          <w:sz w:val="32"/>
          <w:lang w:val="en-US" w:eastAsia="zh-CN"/>
        </w:rPr>
      </w:pPr>
      <w:r>
        <w:rPr>
          <w:rFonts w:hint="eastAsia" w:ascii="仿宋" w:hAnsi="仿宋" w:eastAsia="仿宋" w:cs="仿宋"/>
          <w:sz w:val="32"/>
          <w:lang w:val="en-US" w:eastAsia="zh-CN"/>
        </w:rPr>
        <w:t>第一批乡村振兴衔接资金240.7117万元，全部用于实施通贵乡司家桥村休闲采摘园项目，2023年资金指标下达240.7117万元，已支付428.7117万元，资金执行率100%。</w:t>
      </w:r>
    </w:p>
    <w:p w14:paraId="2C39858C">
      <w:pPr>
        <w:pStyle w:val="11"/>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3.项目资金管理情况分析。</w:t>
      </w:r>
    </w:p>
    <w:p w14:paraId="1C4B7D4B">
      <w:pPr>
        <w:pStyle w:val="11"/>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0" w:firstLineChars="200"/>
        <w:jc w:val="both"/>
        <w:textAlignment w:val="auto"/>
        <w:rPr>
          <w:rFonts w:hint="eastAsia" w:ascii="仿宋" w:hAnsi="仿宋" w:eastAsia="仿宋" w:cs="仿宋"/>
          <w:sz w:val="32"/>
          <w:lang w:val="en-US" w:eastAsia="zh-CN"/>
        </w:rPr>
      </w:pPr>
      <w:r>
        <w:rPr>
          <w:rFonts w:hint="eastAsia" w:ascii="仿宋" w:hAnsi="仿宋" w:eastAsia="仿宋" w:cs="仿宋"/>
          <w:sz w:val="32"/>
          <w:lang w:val="en-US" w:eastAsia="zh-CN"/>
        </w:rPr>
        <w:t>通贵乡人民政府严格按照衔接资金使用要求，将衔接资金用于壮大村集体和提高脱贫户发展生产增收上，项目资金使用时不得用于单位基本支出、交通工具及通讯设备购置支出、修建楼堂馆所、发放各种工资奖金津贴和福利性补助、防止返贫监测预警工作经费、偿还债务本息和垫资等与巩固拓展脱贫攻坚成果和推进乡村振兴无关的支出。</w:t>
      </w:r>
    </w:p>
    <w:p w14:paraId="2B20A13A">
      <w:pPr>
        <w:pStyle w:val="11"/>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both"/>
        <w:textAlignment w:val="auto"/>
        <w:rPr>
          <w:rFonts w:hint="eastAsia" w:ascii="楷体_GB2312" w:hAnsi="楷体_GB2312" w:eastAsia="楷体_GB2312" w:cs="楷体_GB2312"/>
          <w:b/>
          <w:bCs/>
          <w:snapToGrid/>
          <w:color w:val="auto"/>
          <w:kern w:val="2"/>
          <w:sz w:val="32"/>
          <w:szCs w:val="32"/>
        </w:rPr>
      </w:pPr>
      <w:r>
        <w:rPr>
          <w:rFonts w:hint="eastAsia" w:ascii="楷体_GB2312" w:hAnsi="楷体_GB2312" w:eastAsia="楷体_GB2312" w:cs="楷体_GB2312"/>
          <w:b/>
          <w:bCs/>
          <w:snapToGrid/>
          <w:color w:val="auto"/>
          <w:kern w:val="2"/>
          <w:sz w:val="32"/>
          <w:szCs w:val="32"/>
          <w:lang w:eastAsia="zh-CN"/>
        </w:rPr>
        <w:t>（二）</w:t>
      </w:r>
      <w:r>
        <w:rPr>
          <w:rFonts w:hint="eastAsia" w:ascii="楷体_GB2312" w:hAnsi="楷体_GB2312" w:eastAsia="楷体_GB2312" w:cs="楷体_GB2312"/>
          <w:b/>
          <w:bCs/>
          <w:snapToGrid/>
          <w:color w:val="auto"/>
          <w:kern w:val="2"/>
          <w:sz w:val="32"/>
          <w:szCs w:val="32"/>
        </w:rPr>
        <w:t>总体绩效目标完成情况分析</w:t>
      </w:r>
    </w:p>
    <w:p w14:paraId="09B0CFA7">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仿宋_GB2312"/>
          <w:snapToGrid/>
          <w:color w:val="auto"/>
          <w:kern w:val="2"/>
          <w:sz w:val="32"/>
          <w:szCs w:val="32"/>
          <w:lang w:val="en-US" w:eastAsia="zh-CN" w:bidi="ar-SA"/>
        </w:rPr>
      </w:pPr>
      <w:r>
        <w:rPr>
          <w:rFonts w:hint="eastAsia" w:ascii="Times New Roman" w:hAnsi="Times New Roman" w:eastAsia="仿宋_GB2312" w:cs="仿宋_GB2312"/>
          <w:snapToGrid/>
          <w:color w:val="auto"/>
          <w:kern w:val="2"/>
          <w:sz w:val="32"/>
          <w:szCs w:val="32"/>
          <w:lang w:val="en-US" w:eastAsia="zh-CN" w:bidi="ar-SA"/>
        </w:rPr>
        <w:t>截至目前，</w:t>
      </w:r>
      <w:r>
        <w:rPr>
          <w:rFonts w:hint="eastAsia" w:ascii="仿宋_GB2312" w:hAnsi="仿宋_GB2312" w:eastAsia="仿宋_GB2312" w:cs="仿宋_GB2312"/>
          <w:sz w:val="32"/>
          <w:szCs w:val="32"/>
          <w:lang w:val="en-US" w:eastAsia="zh-CN"/>
        </w:rPr>
        <w:t>已完成工程量</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kern w:val="2"/>
          <w:sz w:val="32"/>
          <w:szCs w:val="32"/>
          <w:lang w:val="en-US" w:eastAsia="zh-CN" w:bidi="ar-SA"/>
        </w:rPr>
        <w:t>轻钢结构日光温室7栋</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砖混结构耳房7座</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门式钢架分拣车间一座</w:t>
      </w:r>
      <w:r>
        <w:rPr>
          <w:rFonts w:hint="eastAsia" w:ascii="仿宋_GB2312" w:hAnsi="仿宋_GB2312" w:cs="仿宋_GB2312"/>
          <w:b w:val="0"/>
          <w:bCs w:val="0"/>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4米宽混凝土硬化道路，</w:t>
      </w:r>
      <w:r>
        <w:rPr>
          <w:rFonts w:hint="eastAsia" w:ascii="仿宋_GB2312" w:hAnsi="仿宋_GB2312" w:cs="仿宋_GB2312"/>
          <w:sz w:val="32"/>
          <w:szCs w:val="32"/>
          <w:lang w:val="en-US" w:eastAsia="zh-CN"/>
        </w:rPr>
        <w:t>已完成</w:t>
      </w:r>
      <w:r>
        <w:rPr>
          <w:rFonts w:hint="eastAsia" w:ascii="仿宋_GB2312" w:hAnsi="仿宋_GB2312" w:eastAsia="仿宋_GB2312" w:cs="仿宋_GB2312"/>
          <w:b w:val="0"/>
          <w:bCs w:val="0"/>
          <w:kern w:val="2"/>
          <w:sz w:val="32"/>
          <w:szCs w:val="32"/>
          <w:lang w:val="en-US" w:eastAsia="zh-CN" w:bidi="ar-SA"/>
        </w:rPr>
        <w:t>混凝土道牙及其他附属配套工程</w:t>
      </w:r>
      <w:r>
        <w:rPr>
          <w:rFonts w:hint="eastAsia" w:ascii="仿宋_GB2312" w:hAnsi="仿宋_GB2312" w:eastAsia="仿宋_GB2312" w:cs="仿宋_GB2312"/>
          <w:sz w:val="32"/>
          <w:szCs w:val="32"/>
          <w:lang w:val="en-US" w:eastAsia="zh-CN"/>
        </w:rPr>
        <w:t>。</w:t>
      </w:r>
    </w:p>
    <w:p w14:paraId="2B121F22">
      <w:pPr>
        <w:pStyle w:val="11"/>
        <w:keepNext w:val="0"/>
        <w:keepLines w:val="0"/>
        <w:pageBreakBefore w:val="0"/>
        <w:widowControl w:val="0"/>
        <w:tabs>
          <w:tab w:val="left" w:pos="1442"/>
        </w:tabs>
        <w:kinsoku/>
        <w:wordWrap/>
        <w:overflowPunct/>
        <w:topLinePunct w:val="0"/>
        <w:bidi w:val="0"/>
        <w:adjustRightInd/>
        <w:spacing w:line="600" w:lineRule="exact"/>
        <w:ind w:left="0" w:leftChars="0" w:right="0" w:rightChars="0" w:firstLine="643" w:firstLineChars="200"/>
        <w:jc w:val="both"/>
        <w:textAlignment w:val="auto"/>
        <w:rPr>
          <w:rFonts w:hint="eastAsia" w:ascii="楷体_GB2312" w:hAnsi="楷体_GB2312" w:eastAsia="楷体_GB2312" w:cs="楷体_GB2312"/>
          <w:b/>
          <w:bCs/>
          <w:snapToGrid/>
          <w:color w:val="auto"/>
          <w:kern w:val="2"/>
          <w:sz w:val="32"/>
          <w:szCs w:val="32"/>
        </w:rPr>
      </w:pPr>
      <w:r>
        <w:rPr>
          <w:rFonts w:hint="eastAsia" w:ascii="楷体_GB2312" w:hAnsi="楷体_GB2312" w:eastAsia="楷体_GB2312" w:cs="楷体_GB2312"/>
          <w:b/>
          <w:bCs/>
          <w:snapToGrid/>
          <w:color w:val="auto"/>
          <w:kern w:val="2"/>
          <w:sz w:val="32"/>
          <w:szCs w:val="32"/>
          <w:lang w:eastAsia="zh-CN"/>
        </w:rPr>
        <w:t>（三）</w:t>
      </w:r>
      <w:r>
        <w:rPr>
          <w:rFonts w:hint="eastAsia" w:ascii="楷体_GB2312" w:hAnsi="楷体_GB2312" w:eastAsia="楷体_GB2312" w:cs="楷体_GB2312"/>
          <w:b/>
          <w:bCs/>
          <w:snapToGrid/>
          <w:color w:val="auto"/>
          <w:kern w:val="2"/>
          <w:sz w:val="32"/>
          <w:szCs w:val="32"/>
        </w:rPr>
        <w:t>绩效</w:t>
      </w:r>
      <w:r>
        <w:rPr>
          <w:rFonts w:hint="eastAsia" w:ascii="楷体_GB2312" w:hAnsi="楷体_GB2312" w:eastAsia="楷体_GB2312" w:cs="楷体_GB2312"/>
          <w:b/>
          <w:bCs/>
          <w:snapToGrid/>
          <w:color w:val="auto"/>
          <w:kern w:val="2"/>
          <w:sz w:val="32"/>
          <w:szCs w:val="32"/>
          <w:lang w:eastAsia="zh-CN"/>
        </w:rPr>
        <w:t>目</w:t>
      </w:r>
      <w:r>
        <w:rPr>
          <w:rFonts w:hint="eastAsia" w:ascii="楷体_GB2312" w:hAnsi="楷体_GB2312" w:eastAsia="楷体_GB2312" w:cs="楷体_GB2312"/>
          <w:b/>
          <w:bCs/>
          <w:snapToGrid/>
          <w:color w:val="auto"/>
          <w:kern w:val="2"/>
          <w:sz w:val="32"/>
          <w:szCs w:val="32"/>
        </w:rPr>
        <w:t>标完成情况分析</w:t>
      </w:r>
    </w:p>
    <w:p w14:paraId="48CCA09A">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Times New Roman" w:hAnsi="Times New Roman" w:eastAsia="仿宋_GB2312" w:cs="仿宋_GB2312"/>
          <w:snapToGrid/>
          <w:color w:val="auto"/>
          <w:kern w:val="2"/>
          <w:sz w:val="32"/>
          <w:szCs w:val="32"/>
          <w:lang w:val="en-US" w:eastAsia="zh-CN" w:bidi="ar-SA"/>
        </w:rPr>
        <w:t xml:space="preserve"> </w:t>
      </w:r>
      <w:r>
        <w:rPr>
          <w:rFonts w:hint="eastAsia" w:ascii="仿宋_GB2312" w:hAnsi="仿宋_GB2312" w:eastAsia="仿宋_GB2312" w:cs="仿宋_GB2312"/>
          <w:sz w:val="32"/>
          <w:szCs w:val="32"/>
          <w:lang w:val="zh-CN" w:eastAsia="zh-CN"/>
        </w:rPr>
        <w:t>1、产出指标完成情况分析</w:t>
      </w:r>
    </w:p>
    <w:p w14:paraId="79D39CFD">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（1）数量指标</w:t>
      </w:r>
    </w:p>
    <w:p w14:paraId="7E6C4BA8">
      <w:pPr>
        <w:keepNext w:val="0"/>
        <w:keepLines w:val="0"/>
        <w:pageBreakBefore w:val="0"/>
        <w:widowControl/>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仿宋_GB2312"/>
          <w:snapToGrid/>
          <w:color w:val="auto"/>
          <w:kern w:val="2"/>
          <w:sz w:val="32"/>
          <w:szCs w:val="32"/>
          <w:lang w:val="en-US" w:eastAsia="zh-CN" w:bidi="ar-SA"/>
        </w:rPr>
      </w:pPr>
      <w:r>
        <w:rPr>
          <w:rFonts w:hint="eastAsia" w:ascii="仿宋_GB2312" w:hAnsi="仿宋_GB2312" w:eastAsia="仿宋_GB2312" w:cs="仿宋_GB2312"/>
          <w:sz w:val="32"/>
          <w:szCs w:val="32"/>
          <w:lang w:val="en-US" w:eastAsia="zh-CN"/>
        </w:rPr>
        <w:t>已完成工程量</w:t>
      </w:r>
      <w:r>
        <w:rPr>
          <w:rFonts w:hint="eastAsia" w:ascii="仿宋_GB2312" w:hAnsi="仿宋_GB2312" w:cs="仿宋_GB2312"/>
          <w:sz w:val="32"/>
          <w:szCs w:val="32"/>
          <w:lang w:val="en-US" w:eastAsia="zh-CN"/>
        </w:rPr>
        <w:t>100</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已完成</w:t>
      </w:r>
      <w:r>
        <w:rPr>
          <w:rFonts w:hint="eastAsia" w:ascii="仿宋_GB2312" w:hAnsi="仿宋_GB2312" w:eastAsia="仿宋_GB2312" w:cs="仿宋_GB2312"/>
          <w:b w:val="0"/>
          <w:bCs w:val="0"/>
          <w:kern w:val="2"/>
          <w:sz w:val="32"/>
          <w:szCs w:val="32"/>
          <w:lang w:val="en-US" w:eastAsia="zh-CN" w:bidi="ar-SA"/>
        </w:rPr>
        <w:t>(80.0m+75m)*宽14.6米轻钢结构日光温室7栋，建筑面积共15841 m</w:t>
      </w:r>
      <w:r>
        <w:rPr>
          <w:rFonts w:hint="eastAsia" w:ascii="仿宋_GB2312" w:hAnsi="仿宋_GB2312" w:eastAsia="仿宋_GB2312" w:cs="仿宋_GB2312"/>
          <w:b w:val="0"/>
          <w:bCs w:val="0"/>
          <w:kern w:val="2"/>
          <w:sz w:val="32"/>
          <w:szCs w:val="32"/>
          <w:vertAlign w:val="superscript"/>
          <w:lang w:val="en-US"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cs="仿宋_GB2312"/>
          <w:sz w:val="32"/>
          <w:szCs w:val="32"/>
          <w:lang w:val="en-US" w:eastAsia="zh-CN"/>
        </w:rPr>
        <w:t>已完成</w:t>
      </w:r>
      <w:r>
        <w:rPr>
          <w:rFonts w:hint="eastAsia" w:ascii="仿宋_GB2312" w:hAnsi="仿宋_GB2312" w:eastAsia="仿宋_GB2312" w:cs="仿宋_GB2312"/>
          <w:b w:val="0"/>
          <w:bCs w:val="0"/>
          <w:kern w:val="2"/>
          <w:sz w:val="32"/>
          <w:szCs w:val="32"/>
          <w:lang w:val="en-US" w:eastAsia="zh-CN" w:bidi="ar-SA"/>
        </w:rPr>
        <w:t>砖混结构耳房7座，建筑面积共84m</w:t>
      </w:r>
      <w:r>
        <w:rPr>
          <w:rFonts w:hint="eastAsia" w:ascii="仿宋_GB2312" w:hAnsi="仿宋_GB2312" w:eastAsia="仿宋_GB2312" w:cs="仿宋_GB2312"/>
          <w:b w:val="0"/>
          <w:bCs w:val="0"/>
          <w:kern w:val="2"/>
          <w:sz w:val="32"/>
          <w:szCs w:val="32"/>
          <w:vertAlign w:val="superscript"/>
          <w:lang w:val="en-US"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cs="仿宋_GB2312"/>
          <w:sz w:val="32"/>
          <w:szCs w:val="32"/>
          <w:lang w:val="en-US" w:eastAsia="zh-CN"/>
        </w:rPr>
        <w:t>已完成</w:t>
      </w:r>
      <w:r>
        <w:rPr>
          <w:rFonts w:hint="eastAsia" w:ascii="仿宋_GB2312" w:hAnsi="仿宋_GB2312" w:eastAsia="仿宋_GB2312" w:cs="仿宋_GB2312"/>
          <w:b w:val="0"/>
          <w:bCs w:val="0"/>
          <w:kern w:val="2"/>
          <w:sz w:val="32"/>
          <w:szCs w:val="32"/>
          <w:lang w:val="en-US" w:eastAsia="zh-CN" w:bidi="ar-SA"/>
        </w:rPr>
        <w:t>门式钢架分拣车间一座，建筑面积599.84m</w:t>
      </w:r>
      <w:r>
        <w:rPr>
          <w:rFonts w:hint="eastAsia" w:ascii="仿宋_GB2312" w:hAnsi="仿宋_GB2312" w:eastAsia="仿宋_GB2312" w:cs="仿宋_GB2312"/>
          <w:b w:val="0"/>
          <w:bCs w:val="0"/>
          <w:kern w:val="2"/>
          <w:sz w:val="32"/>
          <w:szCs w:val="32"/>
          <w:vertAlign w:val="superscript"/>
          <w:lang w:val="en-US"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cs="仿宋_GB2312"/>
          <w:sz w:val="32"/>
          <w:szCs w:val="32"/>
          <w:lang w:val="en-US" w:eastAsia="zh-CN"/>
        </w:rPr>
        <w:t>已完成</w:t>
      </w:r>
      <w:r>
        <w:rPr>
          <w:rFonts w:hint="eastAsia" w:ascii="仿宋_GB2312" w:hAnsi="仿宋_GB2312" w:eastAsia="仿宋_GB2312" w:cs="仿宋_GB2312"/>
          <w:b w:val="0"/>
          <w:bCs w:val="0"/>
          <w:kern w:val="2"/>
          <w:sz w:val="32"/>
          <w:szCs w:val="32"/>
          <w:lang w:val="en-US" w:eastAsia="zh-CN" w:bidi="ar-SA"/>
        </w:rPr>
        <w:t>4米宽混凝土硬化道路657.62m</w:t>
      </w:r>
      <w:r>
        <w:rPr>
          <w:rFonts w:hint="eastAsia" w:ascii="仿宋_GB2312" w:hAnsi="仿宋_GB2312" w:eastAsia="仿宋_GB2312" w:cs="仿宋_GB2312"/>
          <w:b w:val="0"/>
          <w:bCs w:val="0"/>
          <w:kern w:val="2"/>
          <w:sz w:val="32"/>
          <w:szCs w:val="32"/>
          <w:vertAlign w:val="superscript"/>
          <w:lang w:val="en-US" w:eastAsia="zh-CN" w:bidi="ar-SA"/>
        </w:rPr>
        <w:t>2</w:t>
      </w:r>
      <w:r>
        <w:rPr>
          <w:rFonts w:hint="eastAsia" w:ascii="仿宋_GB2312" w:hAnsi="仿宋_GB2312" w:eastAsia="仿宋_GB2312" w:cs="仿宋_GB2312"/>
          <w:b w:val="0"/>
          <w:bCs w:val="0"/>
          <w:kern w:val="2"/>
          <w:sz w:val="32"/>
          <w:szCs w:val="32"/>
          <w:lang w:val="en-US" w:eastAsia="zh-CN" w:bidi="ar-SA"/>
        </w:rPr>
        <w:t>，</w:t>
      </w:r>
      <w:r>
        <w:rPr>
          <w:rFonts w:hint="eastAsia" w:ascii="仿宋_GB2312" w:hAnsi="仿宋_GB2312" w:cs="仿宋_GB2312"/>
          <w:sz w:val="32"/>
          <w:szCs w:val="32"/>
          <w:lang w:val="en-US" w:eastAsia="zh-CN"/>
        </w:rPr>
        <w:t>已完成</w:t>
      </w:r>
      <w:r>
        <w:rPr>
          <w:rFonts w:hint="eastAsia" w:ascii="仿宋_GB2312" w:hAnsi="仿宋_GB2312" w:eastAsia="仿宋_GB2312" w:cs="仿宋_GB2312"/>
          <w:b w:val="0"/>
          <w:bCs w:val="0"/>
          <w:kern w:val="2"/>
          <w:sz w:val="32"/>
          <w:szCs w:val="32"/>
          <w:lang w:val="en-US" w:eastAsia="zh-CN" w:bidi="ar-SA"/>
        </w:rPr>
        <w:t>混凝土道牙335.3米及其他附属配套工程</w:t>
      </w:r>
      <w:r>
        <w:rPr>
          <w:rFonts w:hint="eastAsia" w:ascii="仿宋_GB2312" w:hAnsi="仿宋_GB2312" w:eastAsia="仿宋_GB2312" w:cs="仿宋_GB2312"/>
          <w:sz w:val="32"/>
          <w:szCs w:val="32"/>
          <w:lang w:val="en-US" w:eastAsia="zh-CN"/>
        </w:rPr>
        <w:t>。</w:t>
      </w:r>
    </w:p>
    <w:p w14:paraId="6672BD15">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zh-CN" w:eastAsia="zh-CN"/>
        </w:rPr>
        <w:t>）质量指标</w:t>
      </w:r>
    </w:p>
    <w:p w14:paraId="5A12FED8">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cs="仿宋_GB2312"/>
          <w:snapToGrid/>
          <w:color w:val="000000"/>
          <w:kern w:val="2"/>
          <w:sz w:val="32"/>
          <w:szCs w:val="32"/>
          <w:lang w:val="en-US" w:eastAsia="zh-CN" w:bidi="ar-SA"/>
        </w:rPr>
        <w:t>项目验收合格率</w:t>
      </w:r>
      <w:r>
        <w:rPr>
          <w:rFonts w:hint="eastAsia" w:ascii="仿宋_GB2312" w:hAnsi="仿宋_GB2312" w:cs="仿宋_GB2312"/>
          <w:sz w:val="32"/>
          <w:szCs w:val="32"/>
          <w:lang w:val="en-US" w:eastAsia="zh-CN"/>
        </w:rPr>
        <w:t>100</w:t>
      </w:r>
      <w:r>
        <w:rPr>
          <w:rFonts w:hint="eastAsia" w:ascii="Times New Roman" w:hAnsi="Times New Roman" w:cs="仿宋_GB2312"/>
          <w:snapToGrid/>
          <w:color w:val="000000"/>
          <w:kern w:val="2"/>
          <w:sz w:val="32"/>
          <w:szCs w:val="32"/>
          <w:lang w:val="en-US" w:eastAsia="zh-CN" w:bidi="ar-SA"/>
        </w:rPr>
        <w:t>%</w:t>
      </w:r>
      <w:r>
        <w:rPr>
          <w:rFonts w:hint="eastAsia" w:ascii="仿宋_GB2312" w:hAnsi="仿宋_GB2312" w:eastAsia="仿宋_GB2312" w:cs="仿宋_GB2312"/>
          <w:sz w:val="32"/>
          <w:szCs w:val="32"/>
          <w:lang w:val="en-US" w:eastAsia="zh-CN"/>
        </w:rPr>
        <w:t>。</w:t>
      </w:r>
    </w:p>
    <w:p w14:paraId="49258AA9">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eastAsia="zh-CN"/>
        </w:rPr>
        <w:t>）时效指标</w:t>
      </w:r>
    </w:p>
    <w:p w14:paraId="3BD6A86E">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项目实施时间</w:t>
      </w:r>
      <w:r>
        <w:rPr>
          <w:rFonts w:hint="eastAsia" w:ascii="仿宋_GB2312" w:hAnsi="仿宋_GB2312" w:cs="仿宋_GB2312"/>
          <w:sz w:val="32"/>
          <w:szCs w:val="32"/>
          <w:lang w:val="en-US" w:eastAsia="zh-CN"/>
        </w:rPr>
        <w:t>14个月</w:t>
      </w:r>
      <w:r>
        <w:rPr>
          <w:rFonts w:hint="eastAsia" w:ascii="仿宋_GB2312" w:hAnsi="仿宋_GB2312" w:eastAsia="仿宋_GB2312" w:cs="仿宋_GB2312"/>
          <w:sz w:val="32"/>
          <w:szCs w:val="32"/>
          <w:lang w:val="en-US" w:eastAsia="zh-CN"/>
        </w:rPr>
        <w:t>，于202</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3</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27</w:t>
      </w:r>
      <w:r>
        <w:rPr>
          <w:rFonts w:hint="eastAsia" w:ascii="仿宋_GB2312" w:hAnsi="仿宋_GB2312" w:eastAsia="仿宋_GB2312" w:cs="仿宋_GB2312"/>
          <w:sz w:val="32"/>
          <w:szCs w:val="32"/>
          <w:lang w:val="en-US" w:eastAsia="zh-CN"/>
        </w:rPr>
        <w:t>日开工，202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w:t>
      </w:r>
      <w:r>
        <w:rPr>
          <w:rFonts w:hint="eastAsia" w:ascii="仿宋_GB2312" w:hAnsi="仿宋_GB2312" w:cs="仿宋_GB2312"/>
          <w:sz w:val="32"/>
          <w:szCs w:val="32"/>
          <w:lang w:val="en-US" w:eastAsia="zh-CN"/>
        </w:rPr>
        <w:t>5</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26日</w:t>
      </w:r>
      <w:r>
        <w:rPr>
          <w:rFonts w:hint="eastAsia" w:ascii="仿宋_GB2312" w:hAnsi="仿宋_GB2312" w:eastAsia="仿宋_GB2312" w:cs="仿宋_GB2312"/>
          <w:sz w:val="32"/>
          <w:szCs w:val="32"/>
          <w:lang w:val="en-US" w:eastAsia="zh-CN"/>
        </w:rPr>
        <w:t>竣工。</w:t>
      </w:r>
    </w:p>
    <w:p w14:paraId="0AAAEEE0">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zh-CN" w:eastAsia="zh-CN"/>
        </w:rPr>
        <w:t>）成本指标</w:t>
      </w:r>
    </w:p>
    <w:p w14:paraId="1B6C9529">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Times New Roman" w:hAnsi="Times New Roman" w:cs="仿宋_GB2312"/>
          <w:snapToGrid/>
          <w:color w:val="000000"/>
          <w:kern w:val="2"/>
          <w:sz w:val="32"/>
          <w:szCs w:val="32"/>
          <w:lang w:val="en-US" w:eastAsia="zh-CN" w:bidi="ar-SA"/>
        </w:rPr>
        <w:t>按照既定目标严格控制</w:t>
      </w:r>
      <w:r>
        <w:rPr>
          <w:rFonts w:hint="eastAsia" w:ascii="仿宋_GB2312" w:hAnsi="仿宋_GB2312" w:eastAsia="仿宋_GB2312" w:cs="仿宋_GB2312"/>
          <w:sz w:val="32"/>
          <w:szCs w:val="32"/>
          <w:lang w:val="en-US" w:eastAsia="zh-CN"/>
        </w:rPr>
        <w:t>。</w:t>
      </w:r>
    </w:p>
    <w:p w14:paraId="15D70351">
      <w:pPr>
        <w:keepNext w:val="0"/>
        <w:keepLines w:val="0"/>
        <w:pageBreakBefore w:val="0"/>
        <w:widowControl/>
        <w:kinsoku/>
        <w:wordWrap/>
        <w:overflowPunct/>
        <w:topLinePunct w:val="0"/>
        <w:autoSpaceDE/>
        <w:autoSpaceDN/>
        <w:bidi w:val="0"/>
        <w:adjustRightInd/>
        <w:snapToGrid/>
        <w:spacing w:line="560" w:lineRule="exact"/>
        <w:ind w:left="0" w:right="0" w:rightChars="0" w:firstLine="640" w:firstLineChars="200"/>
        <w:jc w:val="both"/>
        <w:textAlignment w:val="auto"/>
        <w:outlineLvl w:val="9"/>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zh-CN" w:eastAsia="zh-CN"/>
        </w:rPr>
        <w:t>2、效益指标完成情况分析</w:t>
      </w:r>
    </w:p>
    <w:p w14:paraId="03CF68DC">
      <w:pPr>
        <w:keepNext w:val="0"/>
        <w:keepLines w:val="0"/>
        <w:pageBreakBefore w:val="0"/>
        <w:widowControl/>
        <w:kinsoku/>
        <w:wordWrap/>
        <w:overflowPunct/>
        <w:topLinePunct w:val="0"/>
        <w:autoSpaceDE/>
        <w:autoSpaceDN/>
        <w:bidi w:val="0"/>
        <w:adjustRightInd/>
        <w:snapToGrid/>
        <w:spacing w:line="400" w:lineRule="atLeas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（1）经济效益</w:t>
      </w:r>
    </w:p>
    <w:p w14:paraId="40DE7767">
      <w:pPr>
        <w:keepNext w:val="0"/>
        <w:keepLines w:val="0"/>
        <w:pageBreakBefore w:val="0"/>
        <w:widowControl/>
        <w:kinsoku/>
        <w:wordWrap/>
        <w:overflowPunct/>
        <w:topLinePunct w:val="0"/>
        <w:autoSpaceDE/>
        <w:autoSpaceDN/>
        <w:bidi w:val="0"/>
        <w:adjustRightInd/>
        <w:snapToGrid/>
        <w:spacing w:line="400" w:lineRule="atLeas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可发展和壮大村级集体经济收入15万，带动辖区20人就业，人均收入1万元。</w:t>
      </w:r>
    </w:p>
    <w:p w14:paraId="43E26C0C">
      <w:pPr>
        <w:keepNext w:val="0"/>
        <w:keepLines w:val="0"/>
        <w:pageBreakBefore w:val="0"/>
        <w:widowControl/>
        <w:kinsoku/>
        <w:wordWrap/>
        <w:overflowPunct/>
        <w:topLinePunct w:val="0"/>
        <w:autoSpaceDE/>
        <w:autoSpaceDN/>
        <w:bidi w:val="0"/>
        <w:adjustRightInd/>
        <w:snapToGrid/>
        <w:spacing w:line="400" w:lineRule="atLeas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（2）社会效益</w:t>
      </w:r>
    </w:p>
    <w:p w14:paraId="4C48A6C1">
      <w:pPr>
        <w:keepNext w:val="0"/>
        <w:keepLines w:val="0"/>
        <w:pageBreakBefore w:val="0"/>
        <w:widowControl/>
        <w:kinsoku/>
        <w:wordWrap/>
        <w:overflowPunct/>
        <w:topLinePunct w:val="0"/>
        <w:autoSpaceDE/>
        <w:autoSpaceDN/>
        <w:bidi w:val="0"/>
        <w:adjustRightInd/>
        <w:snapToGrid/>
        <w:spacing w:line="400" w:lineRule="atLeast"/>
        <w:ind w:left="0" w:right="0" w:rightChars="0"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带动辖区相关产业增收，辐射带动周边人员务工。</w:t>
      </w:r>
    </w:p>
    <w:p w14:paraId="162FC3CC">
      <w:pPr>
        <w:keepNext w:val="0"/>
        <w:keepLines w:val="0"/>
        <w:pageBreakBefore w:val="0"/>
        <w:widowControl/>
        <w:kinsoku/>
        <w:wordWrap/>
        <w:overflowPunct/>
        <w:topLinePunct w:val="0"/>
        <w:autoSpaceDE/>
        <w:autoSpaceDN/>
        <w:bidi w:val="0"/>
        <w:adjustRightInd/>
        <w:snapToGrid/>
        <w:spacing w:line="400" w:lineRule="atLeas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（3）生态效益</w:t>
      </w:r>
    </w:p>
    <w:p w14:paraId="3580B6C5">
      <w:pPr>
        <w:keepNext w:val="0"/>
        <w:keepLines w:val="0"/>
        <w:pageBreakBefore w:val="0"/>
        <w:widowControl/>
        <w:kinsoku/>
        <w:wordWrap/>
        <w:overflowPunct/>
        <w:topLinePunct w:val="0"/>
        <w:autoSpaceDE/>
        <w:autoSpaceDN/>
        <w:bidi w:val="0"/>
        <w:adjustRightInd/>
        <w:snapToGrid/>
        <w:spacing w:line="400" w:lineRule="atLeas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区域生产环境明显改善。</w:t>
      </w:r>
    </w:p>
    <w:p w14:paraId="76B47367">
      <w:pPr>
        <w:keepNext w:val="0"/>
        <w:keepLines w:val="0"/>
        <w:pageBreakBefore w:val="0"/>
        <w:widowControl/>
        <w:kinsoku/>
        <w:wordWrap/>
        <w:overflowPunct/>
        <w:topLinePunct w:val="0"/>
        <w:autoSpaceDE/>
        <w:autoSpaceDN/>
        <w:bidi w:val="0"/>
        <w:adjustRightInd/>
        <w:snapToGrid/>
        <w:spacing w:line="400" w:lineRule="atLeas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（4）可持续影响</w:t>
      </w:r>
    </w:p>
    <w:p w14:paraId="399DEE5C">
      <w:pPr>
        <w:keepNext w:val="0"/>
        <w:keepLines w:val="0"/>
        <w:pageBreakBefore w:val="0"/>
        <w:widowControl/>
        <w:kinsoku/>
        <w:wordWrap/>
        <w:overflowPunct/>
        <w:topLinePunct w:val="0"/>
        <w:autoSpaceDE/>
        <w:autoSpaceDN/>
        <w:bidi w:val="0"/>
        <w:adjustRightInd/>
        <w:snapToGrid/>
        <w:spacing w:line="400" w:lineRule="atLeast"/>
        <w:ind w:left="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招商引资发展通贵乡特色产业,带动通贵乡旅游高质量发展。</w:t>
      </w:r>
    </w:p>
    <w:p w14:paraId="5F751AAC">
      <w:pPr>
        <w:pStyle w:val="11"/>
        <w:keepNext w:val="0"/>
        <w:keepLines w:val="0"/>
        <w:pageBreakBefore w:val="0"/>
        <w:widowControl w:val="0"/>
        <w:tabs>
          <w:tab w:val="left" w:pos="1442"/>
        </w:tabs>
        <w:kinsoku/>
        <w:wordWrap/>
        <w:overflowPunct/>
        <w:topLinePunct w:val="0"/>
        <w:bidi w:val="0"/>
        <w:adjustRightInd/>
        <w:spacing w:line="600" w:lineRule="exact"/>
        <w:ind w:left="640" w:leftChars="200" w:right="0" w:rightChars="0" w:firstLine="0" w:firstLineChars="0"/>
        <w:jc w:val="both"/>
        <w:textAlignment w:val="auto"/>
        <w:rPr>
          <w:rFonts w:hint="eastAsia" w:ascii="Times New Roman" w:hAnsi="Times New Roman" w:eastAsia="方正黑体_GBK" w:cs="黑体"/>
          <w:snapToGrid/>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snapToGrid/>
          <w:color w:val="auto"/>
          <w:kern w:val="2"/>
          <w:sz w:val="32"/>
          <w:szCs w:val="32"/>
          <w:lang w:val="en-US" w:eastAsia="zh-CN" w:bidi="ar-SA"/>
        </w:rPr>
        <w:t>绩效自评结果拟应用和公开情况</w:t>
      </w:r>
    </w:p>
    <w:p w14:paraId="66D98FD7">
      <w:pPr>
        <w:keepNext w:val="0"/>
        <w:keepLines w:val="0"/>
        <w:pageBreakBefore w:val="0"/>
        <w:widowControl w:val="0"/>
        <w:kinsoku/>
        <w:wordWrap/>
        <w:overflowPunct/>
        <w:topLinePunct w:val="0"/>
        <w:bidi w:val="0"/>
        <w:adjustRightInd/>
        <w:spacing w:line="600" w:lineRule="exact"/>
        <w:ind w:left="0" w:leftChars="0" w:firstLine="640"/>
        <w:textAlignment w:val="auto"/>
        <w:rPr>
          <w:rFonts w:hint="eastAsia" w:ascii="Times New Roman" w:hAnsi="Times New Roman" w:cs="仿宋_GB2312"/>
          <w:color w:val="000000"/>
          <w:sz w:val="32"/>
          <w:szCs w:val="32"/>
          <w:lang w:val="en-US" w:eastAsia="zh-CN"/>
        </w:rPr>
      </w:pPr>
      <w:r>
        <w:rPr>
          <w:rFonts w:hint="eastAsia" w:ascii="Times New Roman" w:hAnsi="Times New Roman" w:cs="仿宋_GB2312"/>
          <w:color w:val="000000"/>
          <w:sz w:val="32"/>
          <w:szCs w:val="32"/>
          <w:lang w:val="en-US" w:eastAsia="zh-CN"/>
        </w:rPr>
        <w:t>项目已完工，已</w:t>
      </w:r>
      <w:r>
        <w:rPr>
          <w:rFonts w:hint="eastAsia" w:ascii="Times New Roman" w:hAnsi="Times New Roman" w:eastAsia="仿宋_GB2312" w:cs="仿宋_GB2312"/>
          <w:color w:val="000000"/>
          <w:sz w:val="32"/>
          <w:szCs w:val="32"/>
          <w:lang w:val="en-US" w:eastAsia="zh-CN"/>
        </w:rPr>
        <w:t>开展自评工作，对每一项指标进行定量打分, 形成</w:t>
      </w:r>
      <w:r>
        <w:rPr>
          <w:rFonts w:hint="eastAsia" w:ascii="Times New Roman" w:hAnsi="Times New Roman" w:cs="仿宋_GB2312"/>
          <w:color w:val="000000"/>
          <w:sz w:val="32"/>
          <w:szCs w:val="32"/>
          <w:lang w:val="en-US" w:eastAsia="zh-CN"/>
        </w:rPr>
        <w:t>绩效</w:t>
      </w:r>
      <w:r>
        <w:rPr>
          <w:rFonts w:hint="eastAsia" w:ascii="Times New Roman" w:hAnsi="Times New Roman" w:eastAsia="仿宋_GB2312" w:cs="仿宋_GB2312"/>
          <w:color w:val="000000"/>
          <w:sz w:val="32"/>
          <w:szCs w:val="32"/>
          <w:lang w:val="en-US" w:eastAsia="zh-CN"/>
        </w:rPr>
        <w:t>自评</w:t>
      </w:r>
      <w:r>
        <w:rPr>
          <w:rFonts w:hint="eastAsia" w:ascii="Times New Roman" w:hAnsi="Times New Roman" w:cs="仿宋_GB2312"/>
          <w:color w:val="000000"/>
          <w:sz w:val="32"/>
          <w:szCs w:val="32"/>
          <w:lang w:val="en-US" w:eastAsia="zh-CN"/>
        </w:rPr>
        <w:t>表在门户网站进行公开，接受社会监督。</w:t>
      </w:r>
    </w:p>
    <w:p w14:paraId="270D3FE3">
      <w:pPr>
        <w:keepNext w:val="0"/>
        <w:keepLines w:val="0"/>
        <w:pageBreakBefore w:val="0"/>
        <w:kinsoku/>
        <w:wordWrap/>
        <w:overflowPunct/>
        <w:topLinePunct w:val="0"/>
        <w:autoSpaceDE/>
        <w:autoSpaceDN/>
        <w:bidi w:val="0"/>
        <w:adjustRightInd/>
        <w:snapToGrid/>
        <w:spacing w:line="400" w:lineRule="atLeast"/>
        <w:ind w:firstLine="640" w:firstLineChars="200"/>
        <w:jc w:val="left"/>
        <w:textAlignment w:val="auto"/>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现将</w:t>
      </w:r>
      <w:r>
        <w:rPr>
          <w:rFonts w:hint="eastAsia" w:ascii="仿宋_GB2312" w:hAnsi="仿宋_GB2312" w:eastAsia="仿宋_GB2312" w:cs="仿宋_GB2312"/>
          <w:sz w:val="32"/>
          <w:szCs w:val="32"/>
        </w:rPr>
        <w:t>兴庆区通贵乡</w:t>
      </w:r>
      <w:r>
        <w:rPr>
          <w:rFonts w:hint="eastAsia" w:ascii="仿宋_GB2312" w:hAnsi="仿宋_GB2312" w:eastAsia="仿宋_GB2312" w:cs="仿宋_GB2312"/>
          <w:sz w:val="32"/>
          <w:szCs w:val="32"/>
          <w:lang w:eastAsia="zh-CN"/>
        </w:rPr>
        <w:t>司家桥村休闲采摘观光园</w:t>
      </w:r>
      <w:r>
        <w:rPr>
          <w:rFonts w:hint="eastAsia" w:ascii="仿宋_GB2312" w:hAnsi="仿宋_GB2312" w:eastAsia="仿宋_GB2312" w:cs="仿宋_GB2312"/>
          <w:sz w:val="32"/>
          <w:szCs w:val="32"/>
        </w:rPr>
        <w:t>项目</w:t>
      </w:r>
      <w:r>
        <w:rPr>
          <w:rFonts w:hint="default" w:ascii="仿宋_GB2312" w:hAnsi="仿宋_GB2312" w:eastAsia="仿宋_GB2312" w:cs="仿宋_GB2312"/>
          <w:sz w:val="32"/>
          <w:szCs w:val="32"/>
        </w:rPr>
        <w:t>建设内容予以公示，公示期为10天，如有异议，请在公示期内向以下单位反映。</w:t>
      </w:r>
    </w:p>
    <w:p w14:paraId="4A283E46">
      <w:pPr>
        <w:keepNext w:val="0"/>
        <w:keepLines w:val="0"/>
        <w:pageBreakBefore w:val="0"/>
        <w:widowControl w:val="0"/>
        <w:kinsoku/>
        <w:wordWrap/>
        <w:overflowPunct/>
        <w:topLinePunct w:val="0"/>
        <w:autoSpaceDE/>
        <w:autoSpaceDN/>
        <w:bidi w:val="0"/>
        <w:adjustRightInd/>
        <w:snapToGrid/>
        <w:spacing w:line="400" w:lineRule="atLeas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公示意见反馈方式:</w:t>
      </w:r>
    </w:p>
    <w:p w14:paraId="11CA86E6">
      <w:pPr>
        <w:keepNext w:val="0"/>
        <w:keepLines w:val="0"/>
        <w:pageBreakBefore w:val="0"/>
        <w:widowControl w:val="0"/>
        <w:kinsoku/>
        <w:wordWrap/>
        <w:overflowPunct/>
        <w:topLinePunct w:val="0"/>
        <w:autoSpaceDE/>
        <w:autoSpaceDN/>
        <w:bidi w:val="0"/>
        <w:adjustRightInd/>
        <w:snapToGrid/>
        <w:spacing w:line="4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(1)书面意见请送至</w:t>
      </w:r>
      <w:r>
        <w:rPr>
          <w:rFonts w:hint="eastAsia" w:ascii="Times New Roman" w:hAnsi="Times New Roman" w:eastAsia="仿宋_GB2312" w:cs="Times New Roman"/>
          <w:sz w:val="32"/>
          <w:szCs w:val="32"/>
          <w:lang w:val="en-US" w:eastAsia="zh-CN"/>
        </w:rPr>
        <w:t>兴庆区通贵乡人民政府303室</w:t>
      </w:r>
      <w:r>
        <w:rPr>
          <w:rFonts w:hint="default" w:ascii="Times New Roman" w:hAnsi="Times New Roman" w:eastAsia="仿宋_GB2312" w:cs="Times New Roman"/>
          <w:sz w:val="32"/>
          <w:szCs w:val="32"/>
        </w:rPr>
        <w:t>;</w:t>
      </w:r>
    </w:p>
    <w:p w14:paraId="2B0F30EA">
      <w:pPr>
        <w:keepNext w:val="0"/>
        <w:keepLines w:val="0"/>
        <w:pageBreakBefore w:val="0"/>
        <w:widowControl w:val="0"/>
        <w:kinsoku/>
        <w:wordWrap/>
        <w:overflowPunct/>
        <w:topLinePunct w:val="0"/>
        <w:autoSpaceDE/>
        <w:autoSpaceDN/>
        <w:bidi w:val="0"/>
        <w:adjustRightInd/>
        <w:snapToGrid/>
        <w:spacing w:line="400" w:lineRule="atLeas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(2)意见或建议应在公示期限内提出,逾期未反馈,将视为无意见。</w:t>
      </w:r>
    </w:p>
    <w:p w14:paraId="0790B3EB">
      <w:pPr>
        <w:keepNext w:val="0"/>
        <w:keepLines w:val="0"/>
        <w:pageBreakBefore w:val="0"/>
        <w:widowControl w:val="0"/>
        <w:kinsoku/>
        <w:wordWrap/>
        <w:overflowPunct/>
        <w:topLinePunct w:val="0"/>
        <w:autoSpaceDE/>
        <w:autoSpaceDN/>
        <w:bidi w:val="0"/>
        <w:adjustRightInd/>
        <w:snapToGrid/>
        <w:spacing w:line="400" w:lineRule="atLeas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兴庆区</w:t>
      </w:r>
      <w:r>
        <w:rPr>
          <w:rFonts w:hint="default" w:ascii="Times New Roman" w:hAnsi="Times New Roman" w:eastAsia="仿宋_GB2312" w:cs="Times New Roman"/>
          <w:sz w:val="32"/>
          <w:szCs w:val="32"/>
        </w:rPr>
        <w:t xml:space="preserve">监督电话: </w:t>
      </w:r>
      <w:r>
        <w:rPr>
          <w:rFonts w:hint="default" w:ascii="Times New Roman" w:hAnsi="Times New Roman" w:eastAsia="仿宋_GB2312" w:cs="Times New Roman"/>
          <w:sz w:val="32"/>
          <w:szCs w:val="32"/>
          <w:lang w:val="en-US" w:eastAsia="zh-CN"/>
        </w:rPr>
        <w:t>0951-6144411</w:t>
      </w:r>
      <w:r>
        <w:rPr>
          <w:rFonts w:hint="eastAsia" w:ascii="Times New Roman" w:hAnsi="Times New Roman" w:eastAsia="仿宋_GB2312" w:cs="Times New Roman"/>
          <w:sz w:val="32"/>
          <w:szCs w:val="32"/>
          <w:lang w:val="en-US" w:eastAsia="zh-CN"/>
        </w:rPr>
        <w:t>（兴庆区乡村振兴局）</w:t>
      </w:r>
      <w:r>
        <w:rPr>
          <w:rFonts w:hint="default" w:ascii="Times New Roman" w:hAnsi="Times New Roman" w:eastAsia="仿宋_GB2312" w:cs="Times New Roman"/>
          <w:sz w:val="32"/>
          <w:szCs w:val="32"/>
          <w:lang w:val="en-US" w:eastAsia="zh-CN"/>
        </w:rPr>
        <w:t>/0951-6737519</w:t>
      </w:r>
      <w:r>
        <w:rPr>
          <w:rFonts w:hint="eastAsia" w:ascii="Times New Roman" w:hAnsi="Times New Roman" w:eastAsia="仿宋_GB2312" w:cs="Times New Roman"/>
          <w:sz w:val="32"/>
          <w:szCs w:val="32"/>
          <w:lang w:val="en-US" w:eastAsia="zh-CN"/>
        </w:rPr>
        <w:t>（兴庆区财政局）</w:t>
      </w:r>
    </w:p>
    <w:p w14:paraId="3BFE470B">
      <w:pPr>
        <w:keepNext w:val="0"/>
        <w:keepLines w:val="0"/>
        <w:pageBreakBefore w:val="0"/>
        <w:tabs>
          <w:tab w:val="left" w:pos="1138"/>
        </w:tabs>
        <w:kinsoku/>
        <w:wordWrap/>
        <w:overflowPunct/>
        <w:topLinePunct w:val="0"/>
        <w:autoSpaceDE/>
        <w:autoSpaceDN/>
        <w:bidi w:val="0"/>
        <w:adjustRightInd/>
        <w:snapToGrid/>
        <w:spacing w:line="400" w:lineRule="atLeas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防止返贫监测和乡村振兴平台</w:t>
      </w:r>
      <w:r>
        <w:rPr>
          <w:rFonts w:hint="default" w:ascii="Times New Roman" w:hAnsi="Times New Roman" w:eastAsia="仿宋_GB2312" w:cs="Times New Roman"/>
          <w:sz w:val="32"/>
          <w:szCs w:val="32"/>
          <w:lang w:eastAsia="zh-CN"/>
        </w:rPr>
        <w:t>监督电话：</w:t>
      </w:r>
      <w:r>
        <w:rPr>
          <w:rFonts w:hint="default" w:ascii="Times New Roman" w:hAnsi="Times New Roman" w:eastAsia="仿宋_GB2312" w:cs="Times New Roman"/>
          <w:sz w:val="32"/>
          <w:szCs w:val="32"/>
          <w:lang w:val="en-US" w:eastAsia="zh-CN"/>
        </w:rPr>
        <w:t>12317</w:t>
      </w:r>
    </w:p>
    <w:p w14:paraId="3C80C869">
      <w:pPr>
        <w:keepNext w:val="0"/>
        <w:keepLines w:val="0"/>
        <w:pageBreakBefore w:val="0"/>
        <w:widowControl w:val="0"/>
        <w:kinsoku/>
        <w:wordWrap/>
        <w:overflowPunct/>
        <w:topLinePunct w:val="0"/>
        <w:autoSpaceDE/>
        <w:autoSpaceDN/>
        <w:bidi w:val="0"/>
        <w:adjustRightInd/>
        <w:snapToGrid/>
        <w:spacing w:line="400" w:lineRule="atLeas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联系电话</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0951-6111112</w:t>
      </w:r>
    </w:p>
    <w:p w14:paraId="7D03DE85">
      <w:pPr>
        <w:keepNext w:val="0"/>
        <w:keepLines w:val="0"/>
        <w:pageBreakBefore w:val="0"/>
        <w:widowControl w:val="0"/>
        <w:kinsoku/>
        <w:wordWrap/>
        <w:overflowPunct/>
        <w:topLinePunct w:val="0"/>
        <w:autoSpaceDE/>
        <w:autoSpaceDN/>
        <w:bidi w:val="0"/>
        <w:adjustRightInd/>
        <w:snapToGrid/>
        <w:spacing w:line="400" w:lineRule="atLeas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电子邮箱：</w:t>
      </w:r>
      <w:r>
        <w:rPr>
          <w:rFonts w:hint="eastAsia" w:ascii="Times New Roman" w:hAnsi="Times New Roman" w:eastAsia="仿宋_GB2312" w:cs="Times New Roman"/>
          <w:sz w:val="32"/>
          <w:szCs w:val="32"/>
          <w:lang w:val="en-US" w:eastAsia="zh-CN"/>
        </w:rPr>
        <w:t>xqqtgx@126.com</w:t>
      </w:r>
    </w:p>
    <w:p w14:paraId="78C28D79">
      <w:pPr>
        <w:keepNext w:val="0"/>
        <w:keepLines w:val="0"/>
        <w:pageBreakBefore w:val="0"/>
        <w:widowControl w:val="0"/>
        <w:kinsoku/>
        <w:wordWrap/>
        <w:overflowPunct/>
        <w:topLinePunct w:val="0"/>
        <w:autoSpaceDE/>
        <w:autoSpaceDN/>
        <w:bidi w:val="0"/>
        <w:adjustRightInd/>
        <w:snapToGrid/>
        <w:spacing w:line="400" w:lineRule="atLeas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通讯地址：</w:t>
      </w:r>
      <w:r>
        <w:rPr>
          <w:rFonts w:hint="eastAsia" w:ascii="仿宋_GB2312" w:hAnsi="仿宋_GB2312" w:eastAsia="仿宋_GB2312" w:cs="仿宋_GB2312"/>
          <w:sz w:val="32"/>
          <w:szCs w:val="32"/>
          <w:lang w:eastAsia="zh-CN"/>
        </w:rPr>
        <w:t>银川市兴庆区通贵乡集镇东路通贵乡人民政府</w:t>
      </w:r>
    </w:p>
    <w:p w14:paraId="6C73841D">
      <w:pPr>
        <w:rPr>
          <w:rFonts w:hint="eastAsia"/>
          <w:lang w:val="en-US" w:eastAsia="zh-CN"/>
        </w:rPr>
      </w:pPr>
    </w:p>
    <w:p w14:paraId="4CCD5C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40" w:leftChars="200" w:right="0" w:rightChars="0" w:firstLine="0" w:firstLineChars="0"/>
        <w:jc w:val="both"/>
        <w:textAlignment w:val="auto"/>
        <w:outlineLvl w:val="9"/>
        <w:rPr>
          <w:rFonts w:hint="eastAsia" w:ascii="Times New Roman" w:hAnsi="Times New Roman" w:eastAsia="仿宋_GB2312" w:cs="仿宋_GB2312"/>
          <w:color w:val="0000FF"/>
          <w:sz w:val="32"/>
          <w:szCs w:val="32"/>
          <w:lang w:val="en-US" w:eastAsia="zh-CN"/>
        </w:rPr>
      </w:pPr>
      <w:bookmarkStart w:id="0" w:name="OLE_LINK2"/>
      <w:r>
        <w:rPr>
          <w:rFonts w:hint="eastAsia" w:ascii="Times New Roman" w:hAnsi="Times New Roman" w:cs="仿宋_GB2312"/>
          <w:sz w:val="32"/>
          <w:szCs w:val="32"/>
          <w:lang w:val="en-US" w:eastAsia="zh-CN"/>
        </w:rPr>
        <w:t>附件：</w:t>
      </w:r>
      <w:r>
        <w:rPr>
          <w:rFonts w:hint="eastAsia" w:ascii="仿宋_GB2312" w:hAnsi="仿宋_GB2312" w:cs="仿宋_GB2312"/>
          <w:kern w:val="2"/>
          <w:sz w:val="32"/>
          <w:szCs w:val="32"/>
          <w:lang w:val="en-US" w:eastAsia="zh-CN" w:bidi="ar-SA"/>
        </w:rPr>
        <w:t>1</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兴庆区通贵乡</w:t>
      </w:r>
      <w:r>
        <w:rPr>
          <w:rFonts w:hint="eastAsia" w:ascii="仿宋_GB2312" w:hAnsi="仿宋_GB2312" w:eastAsia="仿宋_GB2312" w:cs="仿宋_GB2312"/>
          <w:sz w:val="32"/>
          <w:szCs w:val="32"/>
          <w:lang w:eastAsia="zh-CN"/>
        </w:rPr>
        <w:t>司家桥村休闲采摘观光园</w:t>
      </w:r>
      <w:r>
        <w:rPr>
          <w:rFonts w:hint="eastAsia" w:ascii="仿宋_GB2312" w:hAnsi="仿宋_GB2312" w:eastAsia="仿宋_GB2312" w:cs="仿宋_GB2312"/>
          <w:sz w:val="32"/>
          <w:szCs w:val="32"/>
          <w:lang w:val="en-US" w:eastAsia="zh-CN"/>
        </w:rPr>
        <w:t xml:space="preserve">项目绩效自评表  </w:t>
      </w:r>
    </w:p>
    <w:bookmarkEnd w:id="0"/>
    <w:p w14:paraId="65E56A1A">
      <w:pPr>
        <w:keepNext w:val="0"/>
        <w:keepLines w:val="0"/>
        <w:pageBreakBefore w:val="0"/>
        <w:widowControl w:val="0"/>
        <w:kinsoku/>
        <w:wordWrap/>
        <w:overflowPunct/>
        <w:topLinePunct w:val="0"/>
        <w:bidi w:val="0"/>
        <w:adjustRightInd/>
        <w:spacing w:line="600" w:lineRule="exact"/>
        <w:ind w:left="0" w:leftChars="0"/>
        <w:jc w:val="both"/>
        <w:textAlignment w:val="auto"/>
        <w:rPr>
          <w:rFonts w:hint="eastAsia" w:ascii="Times New Roman" w:hAnsi="Times New Roman" w:eastAsia="仿宋_GB2312" w:cs="仿宋_GB2312"/>
          <w:color w:val="auto"/>
          <w:sz w:val="32"/>
          <w:szCs w:val="32"/>
          <w:lang w:eastAsia="zh-CN"/>
        </w:rPr>
      </w:pPr>
    </w:p>
    <w:p w14:paraId="540ABA59">
      <w:pPr>
        <w:pStyle w:val="6"/>
        <w:keepNext w:val="0"/>
        <w:keepLines w:val="0"/>
        <w:pageBreakBefore w:val="0"/>
        <w:widowControl w:val="0"/>
        <w:kinsoku/>
        <w:wordWrap/>
        <w:overflowPunct/>
        <w:topLinePunct w:val="0"/>
        <w:bidi w:val="0"/>
        <w:adjustRightInd/>
        <w:spacing w:line="600" w:lineRule="exact"/>
        <w:ind w:left="0" w:leftChars="0"/>
        <w:jc w:val="both"/>
        <w:textAlignment w:val="auto"/>
        <w:rPr>
          <w:rFonts w:hint="default" w:ascii="Times New Roman" w:hAnsi="Times New Roman"/>
          <w:sz w:val="32"/>
          <w:lang w:val="en-US" w:eastAsia="zh-CN"/>
        </w:rPr>
      </w:pPr>
      <w:r>
        <w:rPr>
          <w:rFonts w:hint="eastAsia" w:ascii="Times New Roman" w:hAnsi="Times New Roman" w:cs="仿宋_GB2312"/>
          <w:color w:val="auto"/>
          <w:sz w:val="32"/>
          <w:szCs w:val="32"/>
          <w:lang w:val="en-US" w:eastAsia="zh-CN"/>
        </w:rPr>
        <w:t xml:space="preserve">                         兴庆区</w:t>
      </w:r>
      <w:r>
        <w:rPr>
          <w:rFonts w:hint="eastAsia" w:cs="仿宋_GB2312"/>
          <w:color w:val="auto"/>
          <w:sz w:val="32"/>
          <w:szCs w:val="32"/>
          <w:lang w:val="en-US" w:eastAsia="zh-CN"/>
        </w:rPr>
        <w:t>通贵乡</w:t>
      </w:r>
      <w:r>
        <w:rPr>
          <w:rFonts w:hint="eastAsia" w:ascii="Times New Roman" w:hAnsi="Times New Roman" w:cs="仿宋_GB2312"/>
          <w:color w:val="auto"/>
          <w:sz w:val="32"/>
          <w:szCs w:val="32"/>
          <w:lang w:val="en-US" w:eastAsia="zh-CN"/>
        </w:rPr>
        <w:t>人民政府</w:t>
      </w:r>
    </w:p>
    <w:p w14:paraId="1B75D39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仿宋_GB2312" w:cs="仿宋_GB2312"/>
          <w:sz w:val="32"/>
          <w:szCs w:val="32"/>
          <w:lang w:val="en-US" w:eastAsia="zh-CN"/>
        </w:rPr>
      </w:pPr>
      <w:r>
        <w:rPr>
          <w:rFonts w:hint="eastAsia" w:ascii="Times New Roman" w:hAnsi="Times New Roman" w:eastAsia="黑体" w:cs="黑体"/>
          <w:color w:val="auto"/>
          <w:sz w:val="32"/>
          <w:szCs w:val="32"/>
          <w:lang w:val="en-US" w:eastAsia="zh-CN"/>
        </w:rPr>
        <w:t xml:space="preserve">                             </w:t>
      </w:r>
      <w:r>
        <w:rPr>
          <w:rFonts w:hint="eastAsia" w:ascii="Times New Roman" w:hAnsi="Times New Roman" w:eastAsia="仿宋_GB2312" w:cs="仿宋_GB2312"/>
          <w:sz w:val="32"/>
          <w:szCs w:val="32"/>
          <w:lang w:val="en-US" w:eastAsia="zh-CN"/>
        </w:rPr>
        <w:t xml:space="preserve"> 202</w:t>
      </w:r>
      <w:r>
        <w:rPr>
          <w:rFonts w:hint="eastAsia" w:cs="仿宋_GB2312"/>
          <w:sz w:val="32"/>
          <w:szCs w:val="32"/>
          <w:lang w:val="en-US" w:eastAsia="zh-CN"/>
        </w:rPr>
        <w:t>4</w:t>
      </w:r>
      <w:r>
        <w:rPr>
          <w:rFonts w:hint="eastAsia" w:ascii="Times New Roman" w:hAnsi="Times New Roman" w:eastAsia="仿宋_GB2312" w:cs="仿宋_GB2312"/>
          <w:sz w:val="32"/>
          <w:szCs w:val="32"/>
          <w:lang w:val="en-US" w:eastAsia="zh-CN"/>
        </w:rPr>
        <w:t>年</w:t>
      </w:r>
      <w:r>
        <w:rPr>
          <w:rFonts w:hint="eastAsia" w:cs="仿宋_GB2312"/>
          <w:sz w:val="32"/>
          <w:szCs w:val="32"/>
          <w:lang w:val="en-US" w:eastAsia="zh-CN"/>
        </w:rPr>
        <w:t>8</w:t>
      </w:r>
      <w:r>
        <w:rPr>
          <w:rFonts w:hint="eastAsia" w:ascii="Times New Roman" w:hAnsi="Times New Roman" w:eastAsia="仿宋_GB2312" w:cs="仿宋_GB2312"/>
          <w:sz w:val="32"/>
          <w:szCs w:val="32"/>
          <w:lang w:val="en-US" w:eastAsia="zh-CN"/>
        </w:rPr>
        <w:t>月</w:t>
      </w:r>
      <w:r>
        <w:rPr>
          <w:rFonts w:hint="eastAsia" w:cs="仿宋_GB2312"/>
          <w:sz w:val="32"/>
          <w:szCs w:val="32"/>
          <w:lang w:val="en-US" w:eastAsia="zh-CN"/>
        </w:rPr>
        <w:t>24</w:t>
      </w:r>
      <w:r>
        <w:rPr>
          <w:rFonts w:hint="eastAsia" w:ascii="Times New Roman" w:hAnsi="Times New Roman" w:eastAsia="仿宋_GB2312" w:cs="仿宋_GB2312"/>
          <w:sz w:val="32"/>
          <w:szCs w:val="32"/>
          <w:lang w:val="en-US" w:eastAsia="zh-CN"/>
        </w:rPr>
        <w:t>日</w:t>
      </w:r>
    </w:p>
    <w:p w14:paraId="142A9763">
      <w:pPr>
        <w:rPr>
          <w:rFonts w:hint="eastAsia" w:eastAsia="仿宋_GB2312"/>
          <w:lang w:val="en-US" w:eastAsia="zh-CN"/>
        </w:rPr>
      </w:pPr>
    </w:p>
    <w:p w14:paraId="5F6DB619"/>
    <w:sectPr>
      <w:pgSz w:w="11906" w:h="16838"/>
      <w:pgMar w:top="1587" w:right="1587"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6D29E0"/>
    <w:multiLevelType w:val="singleLevel"/>
    <w:tmpl w:val="216D29E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YTk2ODhmMzUxNGRiNmVhYWNlNDJlZTVkYTRhZjUifQ=="/>
  </w:docVars>
  <w:rsids>
    <w:rsidRoot w:val="00000000"/>
    <w:rsid w:val="02873F04"/>
    <w:rsid w:val="15673B02"/>
    <w:rsid w:val="17F25161"/>
    <w:rsid w:val="1EEF19D5"/>
    <w:rsid w:val="1FD46237"/>
    <w:rsid w:val="27586C82"/>
    <w:rsid w:val="319E48F7"/>
    <w:rsid w:val="34943D90"/>
    <w:rsid w:val="44920809"/>
    <w:rsid w:val="639640A2"/>
    <w:rsid w:val="74962623"/>
    <w:rsid w:val="77ED0DBA"/>
    <w:rsid w:val="7A044199"/>
    <w:rsid w:val="FD767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5"/>
    <w:next w:val="1"/>
    <w:qFormat/>
    <w:uiPriority w:val="1"/>
    <w:pPr>
      <w:ind w:left="20"/>
      <w:outlineLvl w:val="2"/>
    </w:pPr>
    <w:rPr>
      <w:rFonts w:ascii="Times New Roman" w:hAnsi="Times New Roman" w:eastAsia="Times New Roman" w:cs="Times New Roman"/>
      <w:sz w:val="60"/>
      <w:szCs w:val="6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Normal Indent"/>
    <w:basedOn w:val="1"/>
    <w:qFormat/>
    <w:uiPriority w:val="0"/>
    <w:pPr>
      <w:adjustRightInd/>
      <w:spacing w:line="300" w:lineRule="auto"/>
      <w:ind w:firstLine="420"/>
      <w:textAlignment w:val="auto"/>
    </w:pPr>
    <w:rPr>
      <w:kern w:val="2"/>
      <w:sz w:val="24"/>
    </w:rPr>
  </w:style>
  <w:style w:type="paragraph" w:styleId="7">
    <w:name w:val="Body Text Indent"/>
    <w:basedOn w:val="1"/>
    <w:qFormat/>
    <w:uiPriority w:val="0"/>
    <w:pPr>
      <w:spacing w:after="120" w:afterLines="0"/>
      <w:ind w:left="420" w:leftChars="200"/>
    </w:pPr>
  </w:style>
  <w:style w:type="paragraph" w:styleId="8">
    <w:name w:val="Body Text First Indent 2"/>
    <w:basedOn w:val="7"/>
    <w:qFormat/>
    <w:uiPriority w:val="0"/>
    <w:pPr>
      <w:spacing w:after="120"/>
      <w:ind w:left="200" w:leftChars="200" w:firstLine="420" w:firstLineChars="200"/>
    </w:pPr>
    <w:rPr>
      <w:rFonts w:ascii="Times New Roman" w:cs="Times New Roman"/>
    </w:rPr>
  </w:style>
  <w:style w:type="paragraph" w:customStyle="1" w:styleId="11">
    <w:name w:val="附件栏"/>
    <w:basedOn w:val="1"/>
    <w:qFormat/>
    <w:uiPriority w:val="0"/>
    <w:pPr>
      <w:autoSpaceDE w:val="0"/>
      <w:autoSpaceDN w:val="0"/>
      <w:snapToGrid w:val="0"/>
      <w:spacing w:line="590" w:lineRule="atLeast"/>
      <w:ind w:firstLine="624"/>
    </w:pPr>
    <w:rPr>
      <w:rFonts w:ascii="Calibri" w:hAnsi="Calibri" w:eastAsia="方正仿宋_GBK" w:cs="Times New Roman"/>
      <w:snapToGrid w:val="0"/>
      <w:kern w:val="0"/>
      <w:sz w:val="32"/>
      <w:szCs w:val="20"/>
    </w:rPr>
  </w:style>
  <w:style w:type="paragraph" w:customStyle="1" w:styleId="12">
    <w:name w:val="样式1"/>
    <w:basedOn w:val="4"/>
    <w:qFormat/>
    <w:uiPriority w:val="0"/>
    <w:pPr>
      <w:widowControl/>
      <w:tabs>
        <w:tab w:val="left" w:pos="709"/>
        <w:tab w:val="left" w:pos="993"/>
      </w:tabs>
      <w:jc w:val="left"/>
    </w:pPr>
    <w:rPr>
      <w:rFonts w:ascii="宋体" w:hAnsi="宋体" w:eastAsia="宋体" w:cs="Times New Roman"/>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1330</Words>
  <Characters>1514</Characters>
  <Lines>0</Lines>
  <Paragraphs>0</Paragraphs>
  <TotalTime>0</TotalTime>
  <ScaleCrop>false</ScaleCrop>
  <LinksUpToDate>false</LinksUpToDate>
  <CharactersWithSpaces>1575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2023-12-01T14:03:00Z</dcterms:created>
  <dc:creator>Administrator</dc:creator>
  <cp:lastModifiedBy>ψ维秘女神Ψ梦琪</cp:lastModifiedBy>
  <dcterms:modified xsi:type="dcterms:W3CDTF">2024-11-19T02:13:58Z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C79368A4659649D2809BBEFB6F5A251D_12</vt:lpwstr>
  </property>
</Properties>
</file>