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741" w:type="dxa"/>
        <w:jc w:val="center"/>
        <w:tblLayout w:type="fixed"/>
        <w:tblCellMar>
          <w:top w:w="0" w:type="dxa"/>
          <w:left w:w="108" w:type="dxa"/>
          <w:bottom w:w="0" w:type="dxa"/>
          <w:right w:w="108" w:type="dxa"/>
        </w:tblCellMar>
      </w:tblPr>
      <w:tblGrid>
        <w:gridCol w:w="5477"/>
        <w:gridCol w:w="738"/>
        <w:gridCol w:w="1618"/>
        <w:gridCol w:w="3324"/>
        <w:gridCol w:w="1072"/>
        <w:gridCol w:w="2512"/>
      </w:tblGrid>
      <w:tr>
        <w:tblPrEx>
          <w:tblCellMar>
            <w:top w:w="0" w:type="dxa"/>
            <w:left w:w="108" w:type="dxa"/>
            <w:bottom w:w="0" w:type="dxa"/>
            <w:right w:w="108" w:type="dxa"/>
          </w:tblCellMar>
        </w:tblPrEx>
        <w:trPr>
          <w:trHeight w:val="79" w:hRule="atLeast"/>
          <w:jc w:val="center"/>
        </w:trPr>
        <w:tc>
          <w:tcPr>
            <w:tcW w:w="14741" w:type="dxa"/>
            <w:gridSpan w:val="6"/>
            <w:tcBorders>
              <w:top w:val="nil"/>
              <w:left w:val="nil"/>
              <w:bottom w:val="nil"/>
              <w:right w:val="nil"/>
            </w:tcBorders>
            <w:noWrap w:val="0"/>
            <w:vAlign w:val="center"/>
          </w:tcPr>
          <w:p>
            <w:pPr>
              <w:spacing w:line="580" w:lineRule="exact"/>
              <w:jc w:val="center"/>
              <w:outlineLvl w:val="1"/>
              <w:rPr>
                <w:rFonts w:hint="eastAsia" w:ascii="黑体" w:hAnsi="黑体" w:eastAsia="黑体" w:cs="黑体"/>
                <w:b/>
                <w:bCs/>
                <w:color w:val="000000"/>
                <w:kern w:val="0"/>
                <w:sz w:val="40"/>
                <w:szCs w:val="40"/>
              </w:rPr>
            </w:pPr>
            <w:r>
              <w:rPr>
                <w:rFonts w:hint="eastAsia" w:ascii="黑体" w:hAnsi="黑体" w:eastAsia="黑体" w:cs="黑体"/>
                <w:b/>
                <w:bCs/>
                <w:color w:val="000000"/>
                <w:kern w:val="0"/>
                <w:sz w:val="40"/>
                <w:szCs w:val="40"/>
              </w:rPr>
              <w:t xml:space="preserve">第二部分  </w:t>
            </w:r>
            <w:bookmarkStart w:id="0" w:name="_GoBack"/>
            <w:r>
              <w:rPr>
                <w:rFonts w:hint="eastAsia" w:ascii="黑体" w:hAnsi="黑体" w:eastAsia="黑体" w:cs="黑体"/>
                <w:b/>
                <w:bCs/>
                <w:color w:val="000000"/>
                <w:kern w:val="0"/>
                <w:sz w:val="40"/>
                <w:szCs w:val="40"/>
              </w:rPr>
              <w:t>2018年度部门决算表</w:t>
            </w:r>
          </w:p>
          <w:bookmarkEnd w:id="0"/>
          <w:p>
            <w:pPr>
              <w:widowControl/>
              <w:jc w:val="center"/>
              <w:rPr>
                <w:rFonts w:ascii="宋体" w:hAnsi="宋体" w:cs="Arial"/>
                <w:b/>
                <w:bCs/>
                <w:color w:val="000000"/>
                <w:kern w:val="0"/>
                <w:sz w:val="40"/>
                <w:szCs w:val="40"/>
              </w:rPr>
            </w:pPr>
            <w:r>
              <w:rPr>
                <w:rFonts w:hint="eastAsia" w:ascii="宋体" w:hAnsi="宋体" w:cs="Arial"/>
                <w:b/>
                <w:bCs/>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1618"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3324"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1072"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noWrap w:val="0"/>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738"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1618"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3324"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1072" w:type="dxa"/>
            <w:tcBorders>
              <w:top w:val="nil"/>
              <w:left w:val="nil"/>
              <w:bottom w:val="nil"/>
              <w:right w:val="nil"/>
            </w:tcBorders>
            <w:noWrap w:val="0"/>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noWrap w:val="0"/>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833" w:type="dxa"/>
            <w:gridSpan w:val="3"/>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908" w:type="dxa"/>
            <w:gridSpan w:val="3"/>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1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2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1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2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17,496,755.44</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3,590,000.00</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1,577,522.17</w:t>
            </w: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10,981,488.71</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1,850,000.00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18" w:type="dxa"/>
            <w:tcBorders>
              <w:top w:val="nil"/>
              <w:left w:val="nil"/>
              <w:bottom w:val="single" w:color="auto"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072"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18"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072"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p>
        </w:tc>
        <w:tc>
          <w:tcPr>
            <w:tcW w:w="332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p>
        </w:tc>
        <w:tc>
          <w:tcPr>
            <w:tcW w:w="3324" w:type="dxa"/>
            <w:tcBorders>
              <w:top w:val="nil"/>
              <w:left w:val="nil"/>
              <w:bottom w:val="nil"/>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18" w:type="dxa"/>
            <w:tcBorders>
              <w:top w:val="nil"/>
              <w:left w:val="nil"/>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19074277.61</w:t>
            </w:r>
          </w:p>
        </w:tc>
        <w:tc>
          <w:tcPr>
            <w:tcW w:w="33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16"/>
                <w:szCs w:val="16"/>
              </w:rPr>
            </w:pPr>
            <w:r>
              <w:rPr>
                <w:rFonts w:hint="eastAsia" w:ascii="宋体" w:hAnsi="宋体" w:eastAsia="宋体" w:cs="宋体"/>
                <w:i w:val="0"/>
                <w:color w:val="000000"/>
                <w:kern w:val="0"/>
                <w:sz w:val="16"/>
                <w:szCs w:val="16"/>
                <w:u w:val="none"/>
                <w:lang w:val="en-US" w:eastAsia="zh-CN" w:bidi="ar"/>
              </w:rPr>
              <w:t>15,310,631.26</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18" w:type="dxa"/>
            <w:tcBorders>
              <w:top w:val="nil"/>
              <w:left w:val="nil"/>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rPr>
              <w:t>0.0</w:t>
            </w:r>
          </w:p>
        </w:tc>
        <w:tc>
          <w:tcPr>
            <w:tcW w:w="3324"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24,759.52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18" w:type="dxa"/>
            <w:tcBorders>
              <w:top w:val="nil"/>
              <w:left w:val="nil"/>
              <w:bottom w:val="single" w:color="000000" w:sz="4" w:space="0"/>
              <w:right w:val="nil"/>
            </w:tcBorders>
            <w:noWrap w:val="0"/>
            <w:vAlign w:val="center"/>
          </w:tcPr>
          <w:p>
            <w:pPr>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5677105.37</w:t>
            </w:r>
          </w:p>
        </w:tc>
        <w:tc>
          <w:tcPr>
            <w:tcW w:w="3324"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9415992.2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18" w:type="dxa"/>
            <w:tcBorders>
              <w:top w:val="nil"/>
              <w:left w:val="nil"/>
              <w:bottom w:val="single" w:color="000000" w:sz="8" w:space="0"/>
              <w:right w:val="nil"/>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24,751,382.98</w:t>
            </w:r>
          </w:p>
        </w:tc>
        <w:tc>
          <w:tcPr>
            <w:tcW w:w="332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0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16"/>
                <w:szCs w:val="16"/>
              </w:rPr>
            </w:pPr>
            <w:r>
              <w:rPr>
                <w:rFonts w:hint="eastAsia" w:ascii="宋体" w:hAnsi="宋体" w:eastAsia="宋体" w:cs="宋体"/>
                <w:i w:val="0"/>
                <w:color w:val="000000"/>
                <w:kern w:val="0"/>
                <w:sz w:val="16"/>
                <w:szCs w:val="16"/>
                <w:u w:val="none"/>
                <w:lang w:val="en-US" w:eastAsia="zh-CN" w:bidi="ar"/>
              </w:rPr>
              <w:t>24,751,382.98</w:t>
            </w:r>
          </w:p>
        </w:tc>
      </w:tr>
      <w:tr>
        <w:tblPrEx>
          <w:tblCellMar>
            <w:top w:w="0" w:type="dxa"/>
            <w:left w:w="108" w:type="dxa"/>
            <w:bottom w:w="0" w:type="dxa"/>
            <w:right w:w="108" w:type="dxa"/>
          </w:tblCellMar>
        </w:tblPrEx>
        <w:trPr>
          <w:trHeight w:val="266" w:hRule="exact"/>
          <w:jc w:val="center"/>
        </w:trPr>
        <w:tc>
          <w:tcPr>
            <w:tcW w:w="5477" w:type="dxa"/>
            <w:noWrap w:val="0"/>
            <w:vAlign w:val="top"/>
          </w:tcPr>
          <w:p>
            <w:pPr>
              <w:widowControl/>
              <w:jc w:val="center"/>
              <w:rPr>
                <w:rFonts w:ascii="宋体" w:hAnsi="宋体" w:cs="Arial"/>
                <w:b/>
                <w:bCs/>
                <w:color w:val="000000"/>
                <w:kern w:val="0"/>
                <w:sz w:val="18"/>
                <w:szCs w:val="18"/>
              </w:rPr>
            </w:pPr>
          </w:p>
        </w:tc>
        <w:tc>
          <w:tcPr>
            <w:tcW w:w="738" w:type="dxa"/>
            <w:noWrap w:val="0"/>
            <w:vAlign w:val="top"/>
          </w:tcPr>
          <w:p>
            <w:pPr>
              <w:widowControl/>
              <w:jc w:val="center"/>
              <w:rPr>
                <w:rFonts w:ascii="宋体" w:hAnsi="宋体" w:cs="Arial"/>
                <w:color w:val="000000"/>
                <w:kern w:val="0"/>
                <w:sz w:val="18"/>
                <w:szCs w:val="18"/>
              </w:rPr>
            </w:pPr>
          </w:p>
        </w:tc>
        <w:tc>
          <w:tcPr>
            <w:tcW w:w="1618" w:type="dxa"/>
            <w:noWrap w:val="0"/>
            <w:vAlign w:val="center"/>
          </w:tcPr>
          <w:p>
            <w:pPr>
              <w:jc w:val="right"/>
              <w:rPr>
                <w:rFonts w:ascii="宋体" w:hAnsi="宋体" w:cs="Arial"/>
                <w:color w:val="000000"/>
                <w:kern w:val="0"/>
                <w:sz w:val="18"/>
                <w:szCs w:val="18"/>
              </w:rPr>
            </w:pPr>
          </w:p>
        </w:tc>
        <w:tc>
          <w:tcPr>
            <w:tcW w:w="3324" w:type="dxa"/>
            <w:noWrap w:val="0"/>
            <w:vAlign w:val="top"/>
          </w:tcPr>
          <w:p>
            <w:pPr>
              <w:widowControl/>
              <w:jc w:val="center"/>
              <w:rPr>
                <w:rFonts w:ascii="宋体" w:hAnsi="宋体" w:cs="Arial"/>
                <w:b/>
                <w:bCs/>
                <w:color w:val="000000"/>
                <w:kern w:val="0"/>
                <w:sz w:val="18"/>
                <w:szCs w:val="18"/>
              </w:rPr>
            </w:pPr>
          </w:p>
        </w:tc>
        <w:tc>
          <w:tcPr>
            <w:tcW w:w="1072" w:type="dxa"/>
            <w:noWrap w:val="0"/>
            <w:vAlign w:val="top"/>
          </w:tcPr>
          <w:p>
            <w:pPr>
              <w:widowControl/>
              <w:jc w:val="center"/>
              <w:rPr>
                <w:rFonts w:ascii="宋体" w:hAnsi="宋体" w:cs="Arial"/>
                <w:color w:val="000000"/>
                <w:kern w:val="0"/>
                <w:sz w:val="18"/>
                <w:szCs w:val="18"/>
              </w:rPr>
            </w:pPr>
          </w:p>
        </w:tc>
        <w:tc>
          <w:tcPr>
            <w:tcW w:w="2512" w:type="dxa"/>
            <w:noWrap w:val="0"/>
            <w:vAlign w:val="top"/>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noWrap w:val="0"/>
            <w:vAlign w:val="top"/>
          </w:tcPr>
          <w:p>
            <w:pPr>
              <w:widowControl/>
              <w:jc w:val="center"/>
              <w:rPr>
                <w:rFonts w:ascii="宋体" w:hAnsi="宋体" w:cs="Arial"/>
                <w:b/>
                <w:bCs/>
                <w:color w:val="000000"/>
                <w:kern w:val="0"/>
                <w:sz w:val="18"/>
                <w:szCs w:val="18"/>
              </w:rPr>
            </w:pPr>
          </w:p>
        </w:tc>
        <w:tc>
          <w:tcPr>
            <w:tcW w:w="738" w:type="dxa"/>
            <w:noWrap w:val="0"/>
            <w:vAlign w:val="top"/>
          </w:tcPr>
          <w:p>
            <w:pPr>
              <w:widowControl/>
              <w:jc w:val="center"/>
              <w:rPr>
                <w:rFonts w:ascii="宋体" w:hAnsi="宋体" w:cs="Arial"/>
                <w:color w:val="000000"/>
                <w:kern w:val="0"/>
                <w:sz w:val="18"/>
                <w:szCs w:val="18"/>
              </w:rPr>
            </w:pPr>
          </w:p>
        </w:tc>
        <w:tc>
          <w:tcPr>
            <w:tcW w:w="1618" w:type="dxa"/>
            <w:noWrap w:val="0"/>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324" w:type="dxa"/>
            <w:noWrap w:val="0"/>
            <w:vAlign w:val="top"/>
          </w:tcPr>
          <w:p>
            <w:pPr>
              <w:widowControl/>
              <w:jc w:val="center"/>
              <w:rPr>
                <w:rFonts w:ascii="宋体" w:hAnsi="宋体" w:cs="Arial"/>
                <w:b/>
                <w:bCs/>
                <w:color w:val="000000"/>
                <w:kern w:val="0"/>
                <w:sz w:val="18"/>
                <w:szCs w:val="18"/>
              </w:rPr>
            </w:pPr>
          </w:p>
        </w:tc>
        <w:tc>
          <w:tcPr>
            <w:tcW w:w="1072" w:type="dxa"/>
            <w:noWrap w:val="0"/>
            <w:vAlign w:val="top"/>
          </w:tcPr>
          <w:p>
            <w:pPr>
              <w:widowControl/>
              <w:jc w:val="center"/>
              <w:rPr>
                <w:rFonts w:ascii="宋体" w:hAnsi="宋体" w:cs="Arial"/>
                <w:color w:val="000000"/>
                <w:kern w:val="0"/>
                <w:sz w:val="18"/>
                <w:szCs w:val="18"/>
              </w:rPr>
            </w:pPr>
          </w:p>
        </w:tc>
        <w:tc>
          <w:tcPr>
            <w:tcW w:w="2512" w:type="dxa"/>
            <w:noWrap w:val="0"/>
            <w:vAlign w:val="top"/>
          </w:tcPr>
          <w:p>
            <w:pPr>
              <w:widowControl/>
              <w:jc w:val="left"/>
              <w:rPr>
                <w:rFonts w:ascii="宋体" w:hAnsi="宋体" w:cs="Arial"/>
                <w:b/>
                <w:bCs/>
                <w:color w:val="000000"/>
                <w:kern w:val="0"/>
                <w:sz w:val="18"/>
                <w:szCs w:val="18"/>
              </w:rPr>
            </w:pPr>
          </w:p>
        </w:tc>
      </w:tr>
    </w:tbl>
    <w:p>
      <w:pPr>
        <w:spacing w:line="240" w:lineRule="atLeast"/>
        <w:jc w:val="left"/>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tbl>
      <w:tblPr>
        <w:tblStyle w:val="3"/>
        <w:tblpPr w:leftFromText="180" w:rightFromText="180" w:vertAnchor="text" w:horzAnchor="page" w:tblpX="1514" w:tblpY="281"/>
        <w:tblOverlap w:val="never"/>
        <w:tblW w:w="14262" w:type="dxa"/>
        <w:tblInd w:w="0"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5780" w:type="dxa"/>
            <w:gridSpan w:val="6"/>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1202"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7"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19,074,277.61</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17,496,755.44</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1,577,522.17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w:t>
            </w:r>
          </w:p>
        </w:tc>
        <w:tc>
          <w:tcPr>
            <w:tcW w:w="1557"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文化体育与传媒支出</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13,416,846.71</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11,839,324.54</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1,577,522.17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w:t>
            </w:r>
          </w:p>
        </w:tc>
        <w:tc>
          <w:tcPr>
            <w:tcW w:w="1557"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10,608,551.71</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9,031,029.54</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1,577,522.17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2070101</w:t>
            </w:r>
          </w:p>
        </w:tc>
        <w:tc>
          <w:tcPr>
            <w:tcW w:w="15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4,422,304.94</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3,283,233.14</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1,139,071.80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2070102</w:t>
            </w:r>
          </w:p>
        </w:tc>
        <w:tc>
          <w:tcPr>
            <w:tcW w:w="15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一般行政管理事务</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882,115.37</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443,665.00</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438,450.37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2070108</w:t>
            </w:r>
          </w:p>
        </w:tc>
        <w:tc>
          <w:tcPr>
            <w:tcW w:w="15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文化活动</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278,269.63</w:t>
            </w:r>
          </w:p>
        </w:tc>
        <w:tc>
          <w:tcPr>
            <w:tcW w:w="13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278,269.63</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2070109</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群众文化</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2070111</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文化创作与保护</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2070199</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其他文化支出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3,752,378.80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3,752,378.80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体育</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2,808,295.00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2,808,295.00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2070302</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一般行政管理事务</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2070305</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体育竞赛</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2070308</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群众体育</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1,500,000.00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1,500,000.00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2080504</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未归口管理的行政单位离退休</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2080505</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其他社会保障和就业支出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2089901</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其他社会保障和就业支出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2101102</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事业单位医疗</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商业服务业等支出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1,250,000.00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1,250,000.00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旅游业管理与服务支出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2160502</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21660</w:t>
            </w:r>
          </w:p>
        </w:tc>
        <w:tc>
          <w:tcPr>
            <w:tcW w:w="15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旅游发展基金支出</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39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2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2166004</w:t>
            </w:r>
          </w:p>
        </w:tc>
        <w:tc>
          <w:tcPr>
            <w:tcW w:w="155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地方旅游开发项目补助</w:t>
            </w:r>
          </w:p>
        </w:tc>
        <w:tc>
          <w:tcPr>
            <w:tcW w:w="150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2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nil"/>
              <w:left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nil"/>
              <w:left w:val="single" w:color="auto" w:sz="4" w:space="0"/>
              <w:bottom w:val="single" w:color="auto"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其他支出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3,340,000.00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3,340,000.00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彩票公益金及对应专项债务收入安排的支出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3,340,000.00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3,340,000.00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2296003</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用于体育事业的彩票公益金支出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2,790,000.00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2,790,000.00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2296010</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用于文化事业的彩票公益金支出</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550,000.00</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550,000.00</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bl>
    <w:tbl>
      <w:tblPr>
        <w:tblStyle w:val="3"/>
        <w:tblpPr w:leftFromText="180" w:rightFromText="180" w:vertAnchor="text" w:horzAnchor="page" w:tblpX="1550" w:tblpY="43"/>
        <w:tblOverlap w:val="never"/>
        <w:tblW w:w="14082" w:type="dxa"/>
        <w:tblInd w:w="0"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6190" w:type="dxa"/>
            <w:gridSpan w:val="6"/>
            <w:tcBorders>
              <w:top w:val="nil"/>
              <w:left w:val="nil"/>
              <w:bottom w:val="nil"/>
              <w:right w:val="nil"/>
            </w:tcBorders>
            <w:noWrap w:val="0"/>
            <w:vAlign w:val="bottom"/>
          </w:tcPr>
          <w:p>
            <w:pPr>
              <w:widowControl/>
              <w:jc w:val="center"/>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9"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15310631.26</w:t>
            </w:r>
            <w:r>
              <w:rPr>
                <w:rFonts w:hint="eastAsia" w:ascii="宋体" w:hAnsi="宋体" w:cs="Arial"/>
                <w:color w:val="000000"/>
                <w:kern w:val="0"/>
                <w:sz w:val="16"/>
                <w:szCs w:val="16"/>
              </w:rPr>
              <w:t>　</w:t>
            </w:r>
          </w:p>
        </w:tc>
        <w:tc>
          <w:tcPr>
            <w:tcW w:w="160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5464976.32</w:t>
            </w:r>
            <w:r>
              <w:rPr>
                <w:rFonts w:hint="eastAsia" w:ascii="宋体" w:hAnsi="宋体" w:cs="Arial"/>
                <w:color w:val="000000"/>
                <w:kern w:val="0"/>
                <w:sz w:val="16"/>
                <w:szCs w:val="16"/>
              </w:rPr>
              <w:t>　</w:t>
            </w:r>
          </w:p>
        </w:tc>
        <w:tc>
          <w:tcPr>
            <w:tcW w:w="160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9845654.94</w:t>
            </w:r>
            <w:r>
              <w:rPr>
                <w:rFonts w:hint="eastAsia" w:ascii="宋体" w:hAnsi="宋体" w:cs="Arial"/>
                <w:color w:val="000000"/>
                <w:kern w:val="0"/>
                <w:sz w:val="16"/>
                <w:szCs w:val="16"/>
              </w:rPr>
              <w:t>　</w:t>
            </w:r>
          </w:p>
        </w:tc>
        <w:tc>
          <w:tcPr>
            <w:tcW w:w="160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auto"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教育支出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普通教育</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2050299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其他普通教育支出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文化体育与传媒支出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10,981,488.71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4,397,545.42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6,583,943.29</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9,655,569.50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4,397,545.42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5,258,024.08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4,397,545.42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4,397,545.42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1,245,622.08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1,245,622.08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2070108</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文化活动</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252,269.63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252,269.63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群众文化</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2070199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其他文化支出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2,586,649.40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2,586,649.40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体育</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1,325,919.21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1,325,919.21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2070305</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体育竞赛</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2070308</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群众体育</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17,624.21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17,624.21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2080504</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未归口管理的行政单位离退休</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2080505</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其他社会保障和就业支出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2089901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其他社会保障和就业支出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事业单位医疗</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城乡社区支出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21203</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城乡社区公共设施</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2120399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其他城乡社区公共设施支出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商业服务业等支出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旅游业管理与服务支出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1,850,000.00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232,776.00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其他支出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彩票公益金及对应专项债务收入安排的支出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2296003</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sz w:val="16"/>
                <w:szCs w:val="16"/>
              </w:rPr>
            </w:pPr>
            <w:r>
              <w:rPr>
                <w:rFonts w:hint="eastAsia" w:ascii="宋体" w:hAnsi="宋体" w:eastAsia="宋体" w:cs="宋体"/>
                <w:i w:val="0"/>
                <w:color w:val="000000"/>
                <w:kern w:val="0"/>
                <w:sz w:val="16"/>
                <w:szCs w:val="16"/>
                <w:u w:val="none"/>
                <w:lang w:val="en-US" w:eastAsia="zh-CN" w:bidi="ar"/>
              </w:rPr>
              <w:t xml:space="preserve">  用于体育事业的彩票公益金支出</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1,131,711.65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16"/>
                <w:szCs w:val="16"/>
              </w:rPr>
            </w:pPr>
            <w:r>
              <w:rPr>
                <w:rFonts w:hint="eastAsia" w:ascii="宋体" w:hAnsi="宋体" w:eastAsia="宋体" w:cs="宋体"/>
                <w:i w:val="0"/>
                <w:color w:val="000000"/>
                <w:kern w:val="0"/>
                <w:sz w:val="16"/>
                <w:szCs w:val="16"/>
                <w:u w:val="none"/>
                <w:lang w:val="en-US" w:eastAsia="zh-CN" w:bidi="ar"/>
              </w:rPr>
              <w:t>0.00</w:t>
            </w:r>
          </w:p>
        </w:tc>
      </w:tr>
    </w:tbl>
    <w:tbl>
      <w:tblPr>
        <w:tblStyle w:val="3"/>
        <w:tblpPr w:leftFromText="180" w:rightFromText="180" w:vertAnchor="text" w:horzAnchor="page" w:tblpX="1201" w:tblpY="1078"/>
        <w:tblOverlap w:val="never"/>
        <w:tblW w:w="14820" w:type="dxa"/>
        <w:tblInd w:w="0" w:type="dxa"/>
        <w:tblLayout w:type="fixed"/>
        <w:tblCellMar>
          <w:top w:w="0" w:type="dxa"/>
          <w:left w:w="108" w:type="dxa"/>
          <w:bottom w:w="0" w:type="dxa"/>
          <w:right w:w="108" w:type="dxa"/>
        </w:tblCellMar>
      </w:tblPr>
      <w:tblGrid>
        <w:gridCol w:w="3163"/>
        <w:gridCol w:w="661"/>
        <w:gridCol w:w="540"/>
        <w:gridCol w:w="518"/>
        <w:gridCol w:w="590"/>
        <w:gridCol w:w="2726"/>
        <w:gridCol w:w="709"/>
        <w:gridCol w:w="744"/>
        <w:gridCol w:w="1017"/>
        <w:gridCol w:w="531"/>
        <w:gridCol w:w="694"/>
        <w:gridCol w:w="863"/>
        <w:gridCol w:w="146"/>
        <w:gridCol w:w="1918"/>
      </w:tblGrid>
      <w:tr>
        <w:tblPrEx>
          <w:tblCellMar>
            <w:top w:w="0" w:type="dxa"/>
            <w:left w:w="108" w:type="dxa"/>
            <w:bottom w:w="0" w:type="dxa"/>
            <w:right w:w="108" w:type="dxa"/>
          </w:tblCellMar>
        </w:tblPrEx>
        <w:trPr>
          <w:trHeight w:val="597" w:hRule="atLeast"/>
        </w:trPr>
        <w:tc>
          <w:tcPr>
            <w:tcW w:w="14820" w:type="dxa"/>
            <w:gridSpan w:val="14"/>
            <w:tcBorders>
              <w:top w:val="nil"/>
              <w:left w:val="nil"/>
              <w:bottom w:val="nil"/>
              <w:right w:val="nil"/>
            </w:tcBorders>
            <w:noWrap w:val="0"/>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590"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4179" w:type="dxa"/>
            <w:gridSpan w:val="3"/>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noWrap w:val="0"/>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noWrap w:val="0"/>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lang w:eastAsia="zh-CN"/>
              </w:rPr>
              <w:t>银川市兴庆区文化体育旅游局</w:t>
            </w:r>
          </w:p>
        </w:tc>
        <w:tc>
          <w:tcPr>
            <w:tcW w:w="518"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590"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4179" w:type="dxa"/>
            <w:gridSpan w:val="3"/>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noWrap w:val="0"/>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noWrap w:val="0"/>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trPr>
        <w:tc>
          <w:tcPr>
            <w:tcW w:w="5472" w:type="dxa"/>
            <w:gridSpan w:val="5"/>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348" w:type="dxa"/>
            <w:gridSpan w:val="9"/>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48"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7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1648"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27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17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088"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06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48"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88"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6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13,906,755.44</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3,590,000.00</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240,000.00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9,065,219.35</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9,065,219.35</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40,000.00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48" w:type="dxa"/>
            <w:gridSpan w:val="3"/>
            <w:tcBorders>
              <w:top w:val="nil"/>
              <w:left w:val="nil"/>
              <w:bottom w:val="single" w:color="auto"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761" w:type="dxa"/>
            <w:gridSpan w:val="2"/>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48"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761" w:type="dxa"/>
            <w:gridSpan w:val="2"/>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1,850,000.00</w:t>
            </w:r>
          </w:p>
        </w:tc>
        <w:tc>
          <w:tcPr>
            <w:tcW w:w="2088" w:type="dxa"/>
            <w:gridSpan w:val="3"/>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1,850,000.00</w:t>
            </w:r>
          </w:p>
        </w:tc>
        <w:tc>
          <w:tcPr>
            <w:tcW w:w="2064" w:type="dxa"/>
            <w:gridSpan w:val="2"/>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48"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17,496,755.44</w:t>
            </w:r>
          </w:p>
        </w:tc>
        <w:tc>
          <w:tcPr>
            <w:tcW w:w="2726"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13,394,361.90</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12,262,650.25</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4,712,382.48</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76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8,814,776.02</w:t>
            </w:r>
          </w:p>
        </w:tc>
        <w:tc>
          <w:tcPr>
            <w:tcW w:w="208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5,085,375.18</w:t>
            </w:r>
          </w:p>
        </w:tc>
        <w:tc>
          <w:tcPr>
            <w:tcW w:w="20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3,729,400.84</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3,441,269.99</w:t>
            </w:r>
          </w:p>
        </w:tc>
        <w:tc>
          <w:tcPr>
            <w:tcW w:w="272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761"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8"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6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48" w:type="dxa"/>
            <w:gridSpan w:val="3"/>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1,271,112.49</w:t>
            </w:r>
          </w:p>
        </w:tc>
        <w:tc>
          <w:tcPr>
            <w:tcW w:w="2726"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761"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8"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64"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22,209,137.92</w:t>
            </w: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22,209,137.92</w:t>
            </w: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17,348,025.43</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4,861,112.49</w:t>
            </w:r>
          </w:p>
        </w:tc>
      </w:tr>
      <w:tr>
        <w:tblPrEx>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sectPr>
          <w:pgSz w:w="16838" w:h="11906" w:orient="landscape"/>
          <w:pgMar w:top="1800" w:right="1440" w:bottom="1800" w:left="1440" w:header="851" w:footer="992" w:gutter="0"/>
          <w:cols w:space="425" w:num="1"/>
          <w:docGrid w:type="lines" w:linePitch="312" w:charSpace="0"/>
        </w:sectPr>
      </w:pPr>
    </w:p>
    <w:tbl>
      <w:tblPr>
        <w:tblStyle w:val="3"/>
        <w:tblW w:w="9860" w:type="dxa"/>
        <w:jc w:val="center"/>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CellMar>
            <w:top w:w="0" w:type="dxa"/>
            <w:left w:w="108" w:type="dxa"/>
            <w:bottom w:w="0" w:type="dxa"/>
            <w:right w:w="108" w:type="dxa"/>
          </w:tblCellMar>
        </w:tblPrEx>
        <w:trPr>
          <w:trHeight w:val="90" w:hRule="atLeast"/>
          <w:jc w:val="center"/>
        </w:trPr>
        <w:tc>
          <w:tcPr>
            <w:tcW w:w="9860" w:type="dxa"/>
            <w:gridSpan w:val="7"/>
            <w:tcBorders>
              <w:top w:val="nil"/>
              <w:left w:val="nil"/>
              <w:bottom w:val="nil"/>
              <w:right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4820" w:type="dxa"/>
            <w:gridSpan w:val="5"/>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1833"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4"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13,906,755.44</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4,350,664.04</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9,556,091.40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教育支出</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20502</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普通教育</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2050299</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其他普通教育支出</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文化体育与传媒支出</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11,839,324.54</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3,283,233.14</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8,556,091.40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w:t>
            </w:r>
          </w:p>
        </w:tc>
        <w:tc>
          <w:tcPr>
            <w:tcW w:w="19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9,031,029.54</w:t>
            </w:r>
          </w:p>
        </w:tc>
        <w:tc>
          <w:tcPr>
            <w:tcW w:w="18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3,283,233.14</w:t>
            </w:r>
          </w:p>
        </w:tc>
        <w:tc>
          <w:tcPr>
            <w:tcW w:w="3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5,747,796.40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行政运行</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3,283,233.14</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3,283,233.14</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一般行政管理事务</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443,665.00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443,665.00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2070108</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文化活动</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278,269.63</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278,269.63</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2070109</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群众文化</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1,173,482.97</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2070111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文化创作与保护</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2070199</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其他文化支出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3,752,378.80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3,752,378.80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体育</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2,808,295.00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2,808,295.00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一般行政管理事务</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453,632.00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2070305</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体育竞赛</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854,663.00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2070308</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群众体育</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1,500,000.00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653,049.78</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566,752.38</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2080504</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未归口管理的行政单位离退休</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52,345.00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2080505</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机关事业单位基本养老保险缴费支出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514,407.38</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其他社会保障和就业支出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2089901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其他社会保障和就业支出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86,297.40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181,605.12</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事业单位医疗</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155,184.00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公务员医疗补助</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26,421.12</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城乡社区支出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21203</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城乡社区公共设施</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2120399</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其他城乡社区公共设施支出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商业服务业等支出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旅游业管理与服务支出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2160502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一般行政管理事务</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1,000,000.00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2210201</w:t>
            </w:r>
          </w:p>
        </w:tc>
        <w:tc>
          <w:tcPr>
            <w:tcW w:w="15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住房公积金</w:t>
            </w:r>
          </w:p>
        </w:tc>
        <w:tc>
          <w:tcPr>
            <w:tcW w:w="190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1833"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232,776.00</w:t>
            </w:r>
          </w:p>
        </w:tc>
        <w:tc>
          <w:tcPr>
            <w:tcW w:w="320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bl>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sectPr>
          <w:pgSz w:w="11906" w:h="16838"/>
          <w:pgMar w:top="1440" w:right="1803" w:bottom="1440" w:left="1803" w:header="851" w:footer="992" w:gutter="0"/>
          <w:cols w:space="0" w:num="1"/>
          <w:rtlGutter w:val="0"/>
          <w:docGrid w:type="lines" w:linePitch="312" w:charSpace="0"/>
        </w:sectPr>
      </w:pPr>
    </w:p>
    <w:tbl>
      <w:tblPr>
        <w:tblStyle w:val="3"/>
        <w:tblpPr w:leftFromText="180" w:rightFromText="180" w:vertAnchor="text" w:horzAnchor="page" w:tblpX="1409" w:tblpY="62"/>
        <w:tblOverlap w:val="never"/>
        <w:tblW w:w="14024" w:type="dxa"/>
        <w:tblInd w:w="0" w:type="dxa"/>
        <w:tblLayout w:type="fixed"/>
        <w:tblCellMar>
          <w:top w:w="15" w:type="dxa"/>
          <w:left w:w="15" w:type="dxa"/>
          <w:bottom w:w="15" w:type="dxa"/>
          <w:right w:w="15" w:type="dxa"/>
        </w:tblCellMar>
      </w:tblPr>
      <w:tblGrid>
        <w:gridCol w:w="959"/>
        <w:gridCol w:w="2461"/>
        <w:gridCol w:w="1212"/>
        <w:gridCol w:w="962"/>
        <w:gridCol w:w="1904"/>
        <w:gridCol w:w="1576"/>
        <w:gridCol w:w="1635"/>
        <w:gridCol w:w="1995"/>
        <w:gridCol w:w="1320"/>
      </w:tblGrid>
      <w:tr>
        <w:tblPrEx>
          <w:tblCellMar>
            <w:top w:w="15" w:type="dxa"/>
            <w:left w:w="15" w:type="dxa"/>
            <w:bottom w:w="15" w:type="dxa"/>
            <w:right w:w="15" w:type="dxa"/>
          </w:tblCellMar>
        </w:tblPrEx>
        <w:trPr>
          <w:trHeight w:val="511" w:hRule="atLeast"/>
        </w:trPr>
        <w:tc>
          <w:tcPr>
            <w:tcW w:w="14024" w:type="dxa"/>
            <w:gridSpan w:val="9"/>
            <w:noWrap w:val="0"/>
            <w:vAlign w:val="center"/>
          </w:tcPr>
          <w:p>
            <w:pPr>
              <w:widowControl/>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rPr>
              <w:t>一般公共预算财政拨款基本支出决算表</w:t>
            </w:r>
          </w:p>
        </w:tc>
      </w:tr>
      <w:tr>
        <w:tblPrEx>
          <w:tblCellMar>
            <w:top w:w="15" w:type="dxa"/>
            <w:left w:w="15" w:type="dxa"/>
            <w:bottom w:w="15" w:type="dxa"/>
            <w:right w:w="15" w:type="dxa"/>
          </w:tblCellMar>
        </w:tblPrEx>
        <w:trPr>
          <w:trHeight w:val="154" w:hRule="atLeast"/>
        </w:trPr>
        <w:tc>
          <w:tcPr>
            <w:tcW w:w="959" w:type="dxa"/>
            <w:shd w:val="clear" w:color="auto" w:fill="FFFFFF"/>
            <w:noWrap w:val="0"/>
            <w:vAlign w:val="center"/>
          </w:tcPr>
          <w:p>
            <w:pPr>
              <w:jc w:val="center"/>
              <w:rPr>
                <w:rFonts w:hint="eastAsia" w:ascii="宋体" w:hAnsi="宋体" w:cs="宋体"/>
                <w:color w:val="000000"/>
                <w:sz w:val="20"/>
                <w:szCs w:val="20"/>
              </w:rPr>
            </w:pPr>
          </w:p>
        </w:tc>
        <w:tc>
          <w:tcPr>
            <w:tcW w:w="2461" w:type="dxa"/>
            <w:shd w:val="clear" w:color="auto" w:fill="FFFFFF"/>
            <w:noWrap w:val="0"/>
            <w:vAlign w:val="center"/>
          </w:tcPr>
          <w:p>
            <w:pPr>
              <w:jc w:val="center"/>
              <w:rPr>
                <w:rFonts w:hint="eastAsia" w:ascii="宋体" w:hAnsi="宋体" w:cs="宋体"/>
                <w:color w:val="000000"/>
                <w:sz w:val="18"/>
                <w:szCs w:val="18"/>
              </w:rPr>
            </w:pPr>
          </w:p>
        </w:tc>
        <w:tc>
          <w:tcPr>
            <w:tcW w:w="1212" w:type="dxa"/>
            <w:shd w:val="clear" w:color="auto" w:fill="FFFFFF"/>
            <w:noWrap w:val="0"/>
            <w:vAlign w:val="center"/>
          </w:tcPr>
          <w:p>
            <w:pPr>
              <w:jc w:val="center"/>
              <w:rPr>
                <w:rFonts w:hint="eastAsia" w:ascii="宋体" w:hAnsi="宋体" w:cs="宋体"/>
                <w:color w:val="000000"/>
                <w:sz w:val="18"/>
                <w:szCs w:val="18"/>
              </w:rPr>
            </w:pPr>
          </w:p>
        </w:tc>
        <w:tc>
          <w:tcPr>
            <w:tcW w:w="962" w:type="dxa"/>
            <w:shd w:val="clear" w:color="auto" w:fill="FFFFFF"/>
            <w:noWrap w:val="0"/>
            <w:vAlign w:val="center"/>
          </w:tcPr>
          <w:p>
            <w:pPr>
              <w:rPr>
                <w:rFonts w:hint="eastAsia" w:ascii="宋体" w:hAnsi="宋体" w:cs="宋体"/>
                <w:color w:val="000000"/>
                <w:sz w:val="18"/>
                <w:szCs w:val="18"/>
              </w:rPr>
            </w:pPr>
          </w:p>
        </w:tc>
        <w:tc>
          <w:tcPr>
            <w:tcW w:w="1904" w:type="dxa"/>
            <w:shd w:val="clear" w:color="auto" w:fill="FFFFFF"/>
            <w:noWrap w:val="0"/>
            <w:vAlign w:val="center"/>
          </w:tcPr>
          <w:p>
            <w:pPr>
              <w:rPr>
                <w:rFonts w:hint="eastAsia" w:ascii="宋体" w:hAnsi="宋体" w:cs="宋体"/>
                <w:color w:val="000000"/>
                <w:sz w:val="18"/>
                <w:szCs w:val="18"/>
              </w:rPr>
            </w:pPr>
          </w:p>
        </w:tc>
        <w:tc>
          <w:tcPr>
            <w:tcW w:w="1576" w:type="dxa"/>
            <w:shd w:val="clear" w:color="auto" w:fill="FFFFFF"/>
            <w:noWrap w:val="0"/>
            <w:vAlign w:val="center"/>
          </w:tcPr>
          <w:p>
            <w:pPr>
              <w:rPr>
                <w:rFonts w:hint="eastAsia" w:ascii="宋体" w:hAnsi="宋体" w:cs="宋体"/>
                <w:color w:val="000000"/>
                <w:sz w:val="18"/>
                <w:szCs w:val="18"/>
              </w:rPr>
            </w:pPr>
          </w:p>
        </w:tc>
        <w:tc>
          <w:tcPr>
            <w:tcW w:w="1635" w:type="dxa"/>
            <w:shd w:val="clear" w:color="auto" w:fill="FFFFFF"/>
            <w:noWrap w:val="0"/>
            <w:vAlign w:val="center"/>
          </w:tcPr>
          <w:p>
            <w:pPr>
              <w:rPr>
                <w:rFonts w:hint="eastAsia" w:ascii="宋体" w:hAnsi="宋体" w:cs="宋体"/>
                <w:color w:val="000000"/>
                <w:sz w:val="18"/>
                <w:szCs w:val="18"/>
              </w:rPr>
            </w:pPr>
          </w:p>
        </w:tc>
        <w:tc>
          <w:tcPr>
            <w:tcW w:w="1995" w:type="dxa"/>
            <w:shd w:val="clear" w:color="auto" w:fill="FFFFFF"/>
            <w:noWrap w:val="0"/>
            <w:vAlign w:val="center"/>
          </w:tcPr>
          <w:p>
            <w:pPr>
              <w:rPr>
                <w:rFonts w:hint="eastAsia" w:ascii="宋体" w:hAnsi="宋体" w:cs="宋体"/>
                <w:color w:val="000000"/>
                <w:sz w:val="18"/>
                <w:szCs w:val="18"/>
              </w:rPr>
            </w:pPr>
          </w:p>
        </w:tc>
        <w:tc>
          <w:tcPr>
            <w:tcW w:w="1320" w:type="dxa"/>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公开06表</w:t>
            </w:r>
          </w:p>
        </w:tc>
      </w:tr>
      <w:tr>
        <w:tblPrEx>
          <w:tblCellMar>
            <w:top w:w="15" w:type="dxa"/>
            <w:left w:w="15" w:type="dxa"/>
            <w:bottom w:w="15" w:type="dxa"/>
            <w:right w:w="15" w:type="dxa"/>
          </w:tblCellMar>
        </w:tblPrEx>
        <w:trPr>
          <w:trHeight w:val="170" w:hRule="atLeast"/>
        </w:trPr>
        <w:tc>
          <w:tcPr>
            <w:tcW w:w="4632" w:type="dxa"/>
            <w:gridSpan w:val="3"/>
            <w:noWrap w:val="0"/>
            <w:vAlign w:val="center"/>
          </w:tcPr>
          <w:p>
            <w:pPr>
              <w:rPr>
                <w:rFonts w:hint="eastAsia" w:ascii="宋体" w:hAnsi="宋体" w:cs="宋体"/>
                <w:color w:val="000000"/>
                <w:sz w:val="17"/>
                <w:szCs w:val="17"/>
              </w:rPr>
            </w:pPr>
            <w:r>
              <w:rPr>
                <w:rFonts w:hint="eastAsia" w:ascii="宋体" w:hAnsi="宋体" w:cs="宋体"/>
                <w:color w:val="000000"/>
                <w:kern w:val="0"/>
                <w:sz w:val="17"/>
                <w:szCs w:val="17"/>
              </w:rPr>
              <w:t>公开部门：</w:t>
            </w:r>
            <w:r>
              <w:rPr>
                <w:rFonts w:hint="eastAsia" w:ascii="宋体" w:hAnsi="宋体" w:cs="Arial"/>
                <w:color w:val="000000"/>
                <w:kern w:val="0"/>
                <w:sz w:val="24"/>
                <w:lang w:eastAsia="zh-CN"/>
              </w:rPr>
              <w:t>银川市兴庆区文化体育旅游局</w:t>
            </w:r>
          </w:p>
        </w:tc>
        <w:tc>
          <w:tcPr>
            <w:tcW w:w="962" w:type="dxa"/>
            <w:noWrap w:val="0"/>
            <w:vAlign w:val="center"/>
          </w:tcPr>
          <w:p>
            <w:pPr>
              <w:rPr>
                <w:rFonts w:hint="eastAsia" w:ascii="宋体" w:hAnsi="宋体" w:cs="宋体"/>
                <w:color w:val="000000"/>
                <w:sz w:val="17"/>
                <w:szCs w:val="17"/>
              </w:rPr>
            </w:pPr>
          </w:p>
        </w:tc>
        <w:tc>
          <w:tcPr>
            <w:tcW w:w="1904" w:type="dxa"/>
            <w:noWrap w:val="0"/>
            <w:vAlign w:val="center"/>
          </w:tcPr>
          <w:p>
            <w:pPr>
              <w:rPr>
                <w:rFonts w:hint="eastAsia" w:ascii="宋体" w:hAnsi="宋体" w:cs="宋体"/>
                <w:color w:val="000000"/>
                <w:sz w:val="17"/>
                <w:szCs w:val="17"/>
              </w:rPr>
            </w:pPr>
          </w:p>
        </w:tc>
        <w:tc>
          <w:tcPr>
            <w:tcW w:w="1576" w:type="dxa"/>
            <w:noWrap w:val="0"/>
            <w:vAlign w:val="center"/>
          </w:tcPr>
          <w:p>
            <w:pPr>
              <w:rPr>
                <w:rFonts w:hint="eastAsia" w:ascii="宋体" w:hAnsi="宋体" w:cs="宋体"/>
                <w:color w:val="000000"/>
                <w:sz w:val="17"/>
                <w:szCs w:val="17"/>
              </w:rPr>
            </w:pPr>
          </w:p>
        </w:tc>
        <w:tc>
          <w:tcPr>
            <w:tcW w:w="1635" w:type="dxa"/>
            <w:noWrap w:val="0"/>
            <w:vAlign w:val="center"/>
          </w:tcPr>
          <w:p>
            <w:pPr>
              <w:rPr>
                <w:rFonts w:hint="eastAsia" w:ascii="宋体" w:hAnsi="宋体" w:cs="宋体"/>
                <w:color w:val="000000"/>
                <w:sz w:val="17"/>
                <w:szCs w:val="17"/>
              </w:rPr>
            </w:pPr>
          </w:p>
        </w:tc>
        <w:tc>
          <w:tcPr>
            <w:tcW w:w="1995" w:type="dxa"/>
            <w:noWrap w:val="0"/>
            <w:vAlign w:val="center"/>
          </w:tcPr>
          <w:p>
            <w:pPr>
              <w:rPr>
                <w:rFonts w:hint="eastAsia" w:ascii="宋体" w:hAnsi="宋体" w:cs="宋体"/>
                <w:color w:val="000000"/>
                <w:sz w:val="17"/>
                <w:szCs w:val="17"/>
              </w:rPr>
            </w:pPr>
          </w:p>
        </w:tc>
        <w:tc>
          <w:tcPr>
            <w:tcW w:w="1320" w:type="dxa"/>
            <w:noWrap w:val="0"/>
            <w:vAlign w:val="center"/>
          </w:tcPr>
          <w:p>
            <w:pPr>
              <w:widowControl/>
              <w:jc w:val="right"/>
              <w:textAlignment w:val="center"/>
              <w:rPr>
                <w:rFonts w:hint="eastAsia" w:ascii="宋体" w:hAnsi="宋体" w:cs="宋体"/>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2461"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1212"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c>
          <w:tcPr>
            <w:tcW w:w="962"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1904"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1576"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c>
          <w:tcPr>
            <w:tcW w:w="1635"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1995"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1320"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工资福利支出</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3,839,474.90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商品和服务支出</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441,664.14</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资本性支出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10,880.00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基本工资</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1,062,967.00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办公费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5,495.45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房屋建筑物购建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津贴补贴</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742,574.00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印刷费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1,000.00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办公设备购置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10,880.00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奖金</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485,922.00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咨询费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31003</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专用设备购置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30106</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伙食补助费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手续费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基础设施建设</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30107</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绩效工资</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水费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31006</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大型修缮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30108</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机关事业单位基本养老保险费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514,407.38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30206</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电费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31,571.45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31007</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信息网络及软件购置更新</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30109</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职业年金缴费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30207</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邮电费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4,876.63</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31008</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物资储备</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30110</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职工基本医疗保险缴费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155,184.00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30208</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取暖费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31009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土地补偿</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公务员医疗补助缴费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26,421.12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30209</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物业管理费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31010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安置补助</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其他社会保障缴费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86,297.40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差旅费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31011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地上附着物和青苗补偿</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住房公积金</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232,776.00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因公出国（境）费用</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31012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拆迁补偿</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30114</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医疗费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维修（护）费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16,410.00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31013</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公务用车购置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30199</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其他工资福利支出</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532,926.00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租赁费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31019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其他交通工具购置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对个人和家庭的补助</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58,645.00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会议费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31021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文物和陈列品购置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离休费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30216</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培训费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3,270.00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31022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无形资产购置</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退休费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52,345.00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30217</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公务招待费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31099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其他资本性支出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退职（役）费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30218</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专用材料费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对企业补助</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30304</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抚恤金</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被装购置费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31201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资本金注入</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30305</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生活补助</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专用燃料费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31203</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政府投资基金股权投资</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30306</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救济费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30226</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劳务费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9,958.06</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31204</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费用补贴</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30307</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医疗费补助</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30227</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委托业务费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2,400.00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31205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利息补贴</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30308</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助学金</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30228</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工会经费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31299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其他对企业补助</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30309</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奖励金</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30229</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福利费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313</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对社会保障基金补助</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30310</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个人农业生产补贴</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30231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公务用车运行维护费</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31302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对社会保险基金补助</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30399</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对其他个人和家庭的补助支出</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6"/>
                <w:szCs w:val="16"/>
              </w:rPr>
            </w:pPr>
            <w:r>
              <w:rPr>
                <w:rFonts w:hint="eastAsia" w:ascii="宋体" w:hAnsi="宋体" w:eastAsia="宋体" w:cs="宋体"/>
                <w:i w:val="0"/>
                <w:color w:val="000000"/>
                <w:kern w:val="0"/>
                <w:sz w:val="16"/>
                <w:szCs w:val="16"/>
                <w:u w:val="none"/>
                <w:lang w:val="en-US" w:eastAsia="zh-CN" w:bidi="ar"/>
              </w:rPr>
              <w:t>6,300.00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30239</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其他交通费用</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48,070.00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31303</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补充全国社会保障基金</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30240</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税金及附加费用</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399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其他支出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30299</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其他商品和服务支出</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318,612.55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39906</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赠与</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307</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债务利息及费用支出</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39907</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国家赔偿费用支出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30701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国内债务付息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39908</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对民间非营利组织和群众性自治组织补贴</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 w:val="17"/>
                <w:szCs w:val="17"/>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30702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国外债务付息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7"/>
                <w:szCs w:val="17"/>
              </w:rPr>
            </w:pPr>
            <w:r>
              <w:rPr>
                <w:rFonts w:hint="eastAsia" w:ascii="宋体" w:hAnsi="宋体" w:eastAsia="宋体" w:cs="宋体"/>
                <w:i w:val="0"/>
                <w:color w:val="000000"/>
                <w:kern w:val="0"/>
                <w:sz w:val="22"/>
                <w:szCs w:val="22"/>
                <w:u w:val="none"/>
                <w:lang w:val="en-US" w:eastAsia="zh-CN" w:bidi="ar"/>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39999</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其他支出</w:t>
            </w: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eastAsia="宋体" w:cs="宋体"/>
                <w:color w:val="000000"/>
                <w:sz w:val="17"/>
                <w:szCs w:val="17"/>
                <w:lang w:val="en-US" w:eastAsia="zh-CN"/>
              </w:rPr>
            </w:pPr>
            <w:r>
              <w:rPr>
                <w:rFonts w:hint="eastAsia" w:ascii="宋体" w:hAnsi="宋体" w:cs="宋体"/>
                <w:color w:val="000000"/>
                <w:sz w:val="17"/>
                <w:szCs w:val="17"/>
                <w:lang w:val="en-US" w:eastAsia="zh-CN"/>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30703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国内债务发行费用</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7"/>
                <w:szCs w:val="17"/>
                <w:lang w:val="en-US" w:eastAsia="zh-CN"/>
              </w:rPr>
            </w:pPr>
            <w:r>
              <w:rPr>
                <w:rFonts w:hint="eastAsia" w:ascii="宋体" w:hAnsi="宋体" w:cs="宋体"/>
                <w:color w:val="000000"/>
                <w:sz w:val="17"/>
                <w:szCs w:val="17"/>
                <w:lang w:val="en-US" w:eastAsia="zh-CN"/>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宋体" w:hAnsi="宋体" w:cs="宋体"/>
                <w:color w:val="000000"/>
                <w:sz w:val="17"/>
                <w:szCs w:val="17"/>
              </w:rPr>
            </w:pPr>
          </w:p>
        </w:tc>
      </w:tr>
      <w:tr>
        <w:tblPrEx>
          <w:tblCellMar>
            <w:top w:w="15" w:type="dxa"/>
            <w:left w:w="15" w:type="dxa"/>
            <w:bottom w:w="15" w:type="dxa"/>
            <w:right w:w="15" w:type="dxa"/>
          </w:tblCellMar>
        </w:tblPrEx>
        <w:trPr>
          <w:trHeight w:val="227" w:hRule="exact"/>
        </w:trPr>
        <w:tc>
          <w:tcPr>
            <w:tcW w:w="3420" w:type="dxa"/>
            <w:gridSpan w:val="2"/>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cs="宋体"/>
                <w:color w:val="000000"/>
                <w:sz w:val="17"/>
                <w:szCs w:val="17"/>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30704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 xml:space="preserve">  国外债务发行费用</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7"/>
                <w:szCs w:val="17"/>
                <w:lang w:val="en-US" w:eastAsia="zh-CN"/>
              </w:rPr>
            </w:pPr>
            <w:r>
              <w:rPr>
                <w:rFonts w:hint="eastAsia" w:ascii="宋体" w:hAnsi="宋体" w:cs="宋体"/>
                <w:color w:val="000000"/>
                <w:sz w:val="17"/>
                <w:szCs w:val="17"/>
                <w:lang w:val="en-US" w:eastAsia="zh-CN"/>
              </w:rPr>
              <w:t>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7"/>
                <w:szCs w:val="17"/>
              </w:rPr>
            </w:pPr>
          </w:p>
        </w:tc>
        <w:tc>
          <w:tcPr>
            <w:tcW w:w="1320"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宋体" w:hAnsi="宋体" w:cs="宋体"/>
                <w:color w:val="000000"/>
                <w:sz w:val="17"/>
                <w:szCs w:val="17"/>
              </w:rPr>
            </w:pPr>
          </w:p>
        </w:tc>
      </w:tr>
      <w:tr>
        <w:tblPrEx>
          <w:tblCellMar>
            <w:top w:w="15" w:type="dxa"/>
            <w:left w:w="15" w:type="dxa"/>
            <w:bottom w:w="15" w:type="dxa"/>
            <w:right w:w="15" w:type="dxa"/>
          </w:tblCellMar>
        </w:tblPrEx>
        <w:trPr>
          <w:trHeight w:val="214" w:hRule="exact"/>
        </w:trPr>
        <w:tc>
          <w:tcPr>
            <w:tcW w:w="3420"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人员经费合计</w:t>
            </w:r>
          </w:p>
        </w:tc>
        <w:tc>
          <w:tcPr>
            <w:tcW w:w="121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7"/>
                <w:szCs w:val="17"/>
              </w:rPr>
            </w:pPr>
            <w:r>
              <w:rPr>
                <w:rFonts w:hint="eastAsia" w:ascii="宋体" w:hAnsi="宋体" w:eastAsia="宋体" w:cs="宋体"/>
                <w:i w:val="0"/>
                <w:color w:val="000000"/>
                <w:kern w:val="0"/>
                <w:sz w:val="16"/>
                <w:szCs w:val="16"/>
                <w:u w:val="none"/>
                <w:lang w:val="en-US" w:eastAsia="zh-CN" w:bidi="ar"/>
              </w:rPr>
              <w:t>3,898,119.90</w:t>
            </w:r>
          </w:p>
        </w:tc>
        <w:tc>
          <w:tcPr>
            <w:tcW w:w="8072" w:type="dxa"/>
            <w:gridSpan w:val="5"/>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公用经费合计</w:t>
            </w:r>
          </w:p>
        </w:tc>
        <w:tc>
          <w:tcPr>
            <w:tcW w:w="1320"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宋体" w:hAnsi="宋体" w:cs="宋体"/>
                <w:color w:val="000000"/>
                <w:sz w:val="17"/>
                <w:szCs w:val="17"/>
              </w:rPr>
            </w:pPr>
            <w:r>
              <w:rPr>
                <w:rFonts w:hint="eastAsia" w:ascii="宋体" w:hAnsi="宋体" w:cs="宋体"/>
                <w:color w:val="000000"/>
                <w:sz w:val="17"/>
                <w:szCs w:val="17"/>
              </w:rPr>
              <w:t>452544.14</w:t>
            </w:r>
          </w:p>
        </w:tc>
      </w:tr>
      <w:tr>
        <w:tblPrEx>
          <w:tblCellMar>
            <w:top w:w="15" w:type="dxa"/>
            <w:left w:w="15" w:type="dxa"/>
            <w:bottom w:w="15" w:type="dxa"/>
            <w:right w:w="15" w:type="dxa"/>
          </w:tblCellMar>
        </w:tblPrEx>
        <w:trPr>
          <w:trHeight w:val="227" w:hRule="exact"/>
        </w:trPr>
        <w:tc>
          <w:tcPr>
            <w:tcW w:w="3420"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合计</w:t>
            </w:r>
          </w:p>
        </w:tc>
        <w:tc>
          <w:tcPr>
            <w:tcW w:w="10604" w:type="dxa"/>
            <w:gridSpan w:val="7"/>
            <w:tcBorders>
              <w:top w:val="single" w:color="000000" w:sz="4" w:space="0"/>
              <w:left w:val="single" w:color="000000" w:sz="4" w:space="0"/>
              <w:bottom w:val="single" w:color="000000" w:sz="12" w:space="0"/>
              <w:right w:val="single" w:color="000000" w:sz="12" w:space="0"/>
            </w:tcBorders>
            <w:noWrap w:val="0"/>
            <w:vAlign w:val="bottom"/>
          </w:tcPr>
          <w:p>
            <w:pPr>
              <w:keepNext w:val="0"/>
              <w:keepLines w:val="0"/>
              <w:widowControl/>
              <w:suppressLineNumbers w:val="0"/>
              <w:jc w:val="left"/>
              <w:textAlignment w:val="bottom"/>
              <w:rPr>
                <w:rFonts w:hint="eastAsia" w:ascii="宋体" w:hAnsi="宋体" w:cs="宋体"/>
                <w:color w:val="000000"/>
                <w:sz w:val="17"/>
                <w:szCs w:val="17"/>
              </w:rPr>
            </w:pPr>
            <w:r>
              <w:rPr>
                <w:rFonts w:hint="eastAsia" w:ascii="宋体" w:hAnsi="宋体" w:eastAsia="宋体" w:cs="宋体"/>
                <w:i w:val="0"/>
                <w:color w:val="000000"/>
                <w:kern w:val="0"/>
                <w:sz w:val="16"/>
                <w:szCs w:val="16"/>
                <w:u w:val="none"/>
                <w:lang w:val="en-US" w:eastAsia="zh-CN" w:bidi="ar"/>
              </w:rPr>
              <w:t>4350664.04</w:t>
            </w:r>
          </w:p>
        </w:tc>
      </w:tr>
      <w:tr>
        <w:tblPrEx>
          <w:tblCellMar>
            <w:top w:w="15" w:type="dxa"/>
            <w:left w:w="15" w:type="dxa"/>
            <w:bottom w:w="15" w:type="dxa"/>
            <w:right w:w="15" w:type="dxa"/>
          </w:tblCellMar>
        </w:tblPrEx>
        <w:trPr>
          <w:trHeight w:val="113" w:hRule="atLeast"/>
        </w:trPr>
        <w:tc>
          <w:tcPr>
            <w:tcW w:w="14024" w:type="dxa"/>
            <w:gridSpan w:val="9"/>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注：本表反映部门本年度一般公共预算财政拨款基本支出明细情况，数据取自财决08-1表。</w:t>
            </w:r>
          </w:p>
        </w:tc>
      </w:tr>
    </w:tbl>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580" w:lineRule="exact"/>
        <w:rPr>
          <w:rFonts w:hint="eastAsia"/>
        </w:rPr>
      </w:pPr>
    </w:p>
    <w:tbl>
      <w:tblPr>
        <w:tblStyle w:val="3"/>
        <w:tblW w:w="15140" w:type="dxa"/>
        <w:jc w:val="center"/>
        <w:tblLayout w:type="fixed"/>
        <w:tblCellMar>
          <w:top w:w="0" w:type="dxa"/>
          <w:left w:w="108" w:type="dxa"/>
          <w:bottom w:w="0" w:type="dxa"/>
          <w:right w:w="108" w:type="dxa"/>
        </w:tblCellMar>
      </w:tblPr>
      <w:tblGrid>
        <w:gridCol w:w="361"/>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903"/>
        <w:gridCol w:w="120"/>
        <w:gridCol w:w="81"/>
        <w:gridCol w:w="641"/>
        <w:gridCol w:w="115"/>
        <w:gridCol w:w="1384"/>
        <w:gridCol w:w="119"/>
        <w:gridCol w:w="273"/>
        <w:gridCol w:w="1345"/>
        <w:gridCol w:w="479"/>
        <w:gridCol w:w="1147"/>
        <w:gridCol w:w="173"/>
      </w:tblGrid>
      <w:tr>
        <w:tblPrEx>
          <w:tblCellMar>
            <w:top w:w="0" w:type="dxa"/>
            <w:left w:w="108" w:type="dxa"/>
            <w:bottom w:w="0" w:type="dxa"/>
            <w:right w:w="108" w:type="dxa"/>
          </w:tblCellMar>
        </w:tblPrEx>
        <w:trPr>
          <w:trHeight w:val="690" w:hRule="atLeast"/>
          <w:jc w:val="center"/>
        </w:trPr>
        <w:tc>
          <w:tcPr>
            <w:tcW w:w="15140" w:type="dxa"/>
            <w:gridSpan w:val="31"/>
            <w:tcBorders>
              <w:top w:val="nil"/>
              <w:left w:val="nil"/>
              <w:bottom w:val="nil"/>
              <w:right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074" w:type="dxa"/>
            <w:gridSpan w:val="4"/>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6259" w:type="dxa"/>
            <w:gridSpan w:val="15"/>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1381" w:type="dxa"/>
            <w:gridSpan w:val="2"/>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40" w:type="dxa"/>
            <w:gridSpan w:val="1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2018年度预算数</w:t>
            </w:r>
          </w:p>
        </w:tc>
        <w:tc>
          <w:tcPr>
            <w:tcW w:w="7500"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2018年度决算数</w:t>
            </w:r>
          </w:p>
        </w:tc>
      </w:tr>
      <w:tr>
        <w:tblPrEx>
          <w:tblCellMar>
            <w:top w:w="0" w:type="dxa"/>
            <w:left w:w="108" w:type="dxa"/>
            <w:bottom w:w="0" w:type="dxa"/>
            <w:right w:w="108" w:type="dxa"/>
          </w:tblCellMar>
        </w:tblPrEx>
        <w:trPr>
          <w:trHeight w:val="570" w:hRule="atLeast"/>
          <w:jc w:val="center"/>
        </w:trPr>
        <w:tc>
          <w:tcPr>
            <w:tcW w:w="74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4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40"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40"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4"/>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4"/>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71" w:type="dxa"/>
            <w:gridSpan w:val="3"/>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381"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720"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04" w:type="dxa"/>
            <w:gridSpan w:val="3"/>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776" w:type="dxa"/>
            <w:gridSpan w:val="3"/>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320" w:type="dxa"/>
            <w:gridSpan w:val="2"/>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40" w:type="dxa"/>
            <w:gridSpan w:val="31"/>
            <w:tcBorders>
              <w:top w:val="single" w:color="auto" w:sz="4"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注：2018年度预算数为“三公”经费年初预算数，决算数是包括当年财政拨款预算和以前年度结转结余资金安排的实际支出，数据取自CS05表。</w:t>
            </w:r>
          </w:p>
        </w:tc>
      </w:tr>
      <w:tr>
        <w:tblPrEx>
          <w:tblCellMar>
            <w:top w:w="0" w:type="dxa"/>
            <w:left w:w="108" w:type="dxa"/>
            <w:bottom w:w="0" w:type="dxa"/>
            <w:right w:w="108" w:type="dxa"/>
          </w:tblCellMar>
        </w:tblPrEx>
        <w:trPr>
          <w:gridAfter w:val="1"/>
          <w:wAfter w:w="173" w:type="dxa"/>
          <w:trHeight w:val="648" w:hRule="atLeast"/>
          <w:jc w:val="center"/>
        </w:trPr>
        <w:tc>
          <w:tcPr>
            <w:tcW w:w="14967" w:type="dxa"/>
            <w:gridSpan w:val="30"/>
            <w:vMerge w:val="restart"/>
            <w:tcBorders>
              <w:top w:val="nil"/>
              <w:left w:val="nil"/>
              <w:bottom w:val="nil"/>
              <w:right w:val="nil"/>
            </w:tcBorders>
            <w:noWrap w:val="0"/>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t xml:space="preserve">    </w:t>
            </w: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1"/>
          <w:wAfter w:w="173" w:type="dxa"/>
          <w:trHeight w:val="558" w:hRule="atLeast"/>
          <w:jc w:val="center"/>
        </w:trPr>
        <w:tc>
          <w:tcPr>
            <w:tcW w:w="14967" w:type="dxa"/>
            <w:gridSpan w:val="30"/>
            <w:vMerge w:val="continue"/>
            <w:tcBorders>
              <w:top w:val="nil"/>
              <w:left w:val="nil"/>
              <w:bottom w:val="nil"/>
              <w:right w:val="nil"/>
            </w:tcBorders>
            <w:noWrap w:val="0"/>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gridAfter w:val="1"/>
          <w:wAfter w:w="173" w:type="dxa"/>
          <w:trHeight w:val="413" w:hRule="atLeast"/>
          <w:jc w:val="center"/>
        </w:trPr>
        <w:tc>
          <w:tcPr>
            <w:tcW w:w="36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988" w:type="dxa"/>
            <w:gridSpan w:val="5"/>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2221" w:type="dxa"/>
            <w:gridSpan w:val="4"/>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3363" w:type="dxa"/>
            <w:gridSpan w:val="5"/>
            <w:tcBorders>
              <w:top w:val="nil"/>
              <w:left w:val="nil"/>
              <w:bottom w:val="nil"/>
              <w:right w:val="nil"/>
            </w:tcBorders>
            <w:noWrap w:val="0"/>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gridAfter w:val="1"/>
          <w:wAfter w:w="173" w:type="dxa"/>
          <w:trHeight w:val="300" w:hRule="atLeast"/>
          <w:jc w:val="center"/>
        </w:trPr>
        <w:tc>
          <w:tcPr>
            <w:tcW w:w="5874" w:type="dxa"/>
            <w:gridSpan w:val="14"/>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银川市兴庆区文化体育旅游局</w:t>
            </w:r>
          </w:p>
        </w:tc>
        <w:tc>
          <w:tcPr>
            <w:tcW w:w="152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988" w:type="dxa"/>
            <w:gridSpan w:val="5"/>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1" w:type="dxa"/>
            <w:gridSpan w:val="4"/>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363" w:type="dxa"/>
            <w:gridSpan w:val="5"/>
            <w:tcBorders>
              <w:top w:val="nil"/>
              <w:left w:val="nil"/>
              <w:bottom w:val="nil"/>
              <w:right w:val="nil"/>
            </w:tcBorders>
            <w:noWrap w:val="0"/>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1"/>
          <w:wAfter w:w="173" w:type="dxa"/>
          <w:trHeight w:val="308" w:hRule="atLeast"/>
          <w:jc w:val="center"/>
        </w:trPr>
        <w:tc>
          <w:tcPr>
            <w:tcW w:w="2832"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730"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3363"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gridAfter w:val="1"/>
          <w:wAfter w:w="173" w:type="dxa"/>
          <w:trHeight w:val="312" w:hRule="atLeast"/>
          <w:jc w:val="center"/>
        </w:trPr>
        <w:tc>
          <w:tcPr>
            <w:tcW w:w="1296"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988" w:type="dxa"/>
            <w:gridSpan w:val="5"/>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21" w:type="dxa"/>
            <w:gridSpan w:val="4"/>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336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73" w:type="dxa"/>
          <w:trHeight w:val="308" w:hRule="atLeast"/>
          <w:jc w:val="center"/>
        </w:trPr>
        <w:tc>
          <w:tcPr>
            <w:tcW w:w="3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3"/>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988" w:type="dxa"/>
            <w:gridSpan w:val="5"/>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21" w:type="dxa"/>
            <w:gridSpan w:val="4"/>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363" w:type="dxa"/>
            <w:gridSpan w:val="5"/>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gridAfter w:val="1"/>
          <w:wAfter w:w="173" w:type="dxa"/>
          <w:trHeight w:val="308" w:hRule="atLeast"/>
          <w:jc w:val="center"/>
        </w:trPr>
        <w:tc>
          <w:tcPr>
            <w:tcW w:w="3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1,271,112.49</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3,590,000.00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1,131,711.65</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1,131,711.65</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3,729,400.84</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w:t>
            </w:r>
          </w:p>
        </w:tc>
        <w:tc>
          <w:tcPr>
            <w:tcW w:w="1536"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商业服务业等支出</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250,000.00</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21660</w:t>
            </w:r>
          </w:p>
        </w:tc>
        <w:tc>
          <w:tcPr>
            <w:tcW w:w="1536"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旅游发展基金支出</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250,000.00</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2166004</w:t>
            </w:r>
          </w:p>
        </w:tc>
        <w:tc>
          <w:tcPr>
            <w:tcW w:w="1536"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地方旅游开发项目补助</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250,000.00</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w:t>
            </w:r>
          </w:p>
        </w:tc>
        <w:tc>
          <w:tcPr>
            <w:tcW w:w="1536"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其他支出</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1,271,112.49</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3,340,000.00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3,479,400.84</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w:t>
            </w:r>
          </w:p>
        </w:tc>
        <w:tc>
          <w:tcPr>
            <w:tcW w:w="1536"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彩票公益金及对应专项债务收入安排的支出</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1,271,112.49</w:t>
            </w:r>
          </w:p>
        </w:tc>
        <w:tc>
          <w:tcPr>
            <w:tcW w:w="1521"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3,340,000.00</w:t>
            </w:r>
          </w:p>
        </w:tc>
        <w:tc>
          <w:tcPr>
            <w:tcW w:w="152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1988"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3363" w:type="dxa"/>
            <w:gridSpan w:val="5"/>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3,479,400.84</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2296003</w:t>
            </w:r>
          </w:p>
        </w:tc>
        <w:tc>
          <w:tcPr>
            <w:tcW w:w="153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用于体育事业的彩票公益金支出</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1,271,112.49</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2,790,000.00</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198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1,131,711.65</w:t>
            </w:r>
          </w:p>
        </w:tc>
        <w:tc>
          <w:tcPr>
            <w:tcW w:w="336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2,929,400.84</w:t>
            </w:r>
          </w:p>
        </w:tc>
      </w:tr>
      <w:tr>
        <w:tblPrEx>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2296010</w:t>
            </w:r>
          </w:p>
        </w:tc>
        <w:tc>
          <w:tcPr>
            <w:tcW w:w="153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用于文化事业的彩票公益金支出</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550,000.00</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98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2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36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val="0"/>
                <w:bCs/>
                <w:color w:val="000000"/>
                <w:kern w:val="0"/>
                <w:sz w:val="16"/>
                <w:szCs w:val="16"/>
              </w:rPr>
            </w:pPr>
            <w:r>
              <w:rPr>
                <w:rFonts w:hint="eastAsia" w:ascii="宋体" w:hAnsi="宋体" w:eastAsia="宋体" w:cs="宋体"/>
                <w:b w:val="0"/>
                <w:bCs/>
                <w:i w:val="0"/>
                <w:color w:val="000000"/>
                <w:kern w:val="0"/>
                <w:sz w:val="16"/>
                <w:szCs w:val="16"/>
                <w:u w:val="none"/>
                <w:lang w:val="en-US" w:eastAsia="zh-CN" w:bidi="ar"/>
              </w:rPr>
              <w:t>550,000.00</w:t>
            </w:r>
          </w:p>
        </w:tc>
      </w:tr>
      <w:tr>
        <w:tblPrEx>
          <w:tblCellMar>
            <w:top w:w="0" w:type="dxa"/>
            <w:left w:w="108" w:type="dxa"/>
            <w:bottom w:w="0" w:type="dxa"/>
            <w:right w:w="108" w:type="dxa"/>
          </w:tblCellMar>
        </w:tblPrEx>
        <w:trPr>
          <w:gridAfter w:val="1"/>
          <w:wAfter w:w="173" w:type="dxa"/>
          <w:trHeight w:val="525" w:hRule="atLeast"/>
          <w:jc w:val="center"/>
        </w:trPr>
        <w:tc>
          <w:tcPr>
            <w:tcW w:w="14967" w:type="dxa"/>
            <w:gridSpan w:val="30"/>
            <w:tcBorders>
              <w:top w:val="single" w:color="auto" w:sz="4" w:space="0"/>
              <w:left w:val="nil"/>
              <w:bottom w:val="nil"/>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8626F"/>
    <w:rsid w:val="1F595BF9"/>
    <w:rsid w:val="2B2F6A89"/>
    <w:rsid w:val="7C38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2019-10-09T07:37:00Z</dcterms:created>
  <dc:creator>珊angel</dc:creator>
  <cp:lastModifiedBy>浅音</cp:lastModifiedBy>
  <dcterms:modified xsi:type="dcterms:W3CDTF">2021-06-11T06:50:58Z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068F6D61EA134CF2B15E5E9182E424A5</vt:lpwstr>
  </property>
</Properties>
</file>