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D735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aseline"/>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“四张清单”</w:t>
      </w:r>
    </w:p>
    <w:p w14:paraId="212E2D2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单位名称：新华街街道办事处</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223"/>
        <w:gridCol w:w="2865"/>
        <w:gridCol w:w="2550"/>
        <w:gridCol w:w="3585"/>
        <w:gridCol w:w="1589"/>
      </w:tblGrid>
      <w:tr w14:paraId="298F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center"/>
          </w:tcPr>
          <w:p w14:paraId="40CE93F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处罚情形</w:t>
            </w:r>
          </w:p>
        </w:tc>
        <w:tc>
          <w:tcPr>
            <w:tcW w:w="1223" w:type="dxa"/>
            <w:noWrap w:val="0"/>
            <w:vAlign w:val="center"/>
          </w:tcPr>
          <w:p w14:paraId="225B1FF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序号</w:t>
            </w:r>
          </w:p>
        </w:tc>
        <w:tc>
          <w:tcPr>
            <w:tcW w:w="2865" w:type="dxa"/>
            <w:noWrap w:val="0"/>
            <w:vAlign w:val="center"/>
          </w:tcPr>
          <w:p w14:paraId="5142BF4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违法行为种类</w:t>
            </w:r>
          </w:p>
        </w:tc>
        <w:tc>
          <w:tcPr>
            <w:tcW w:w="2550" w:type="dxa"/>
            <w:noWrap w:val="0"/>
            <w:vAlign w:val="center"/>
          </w:tcPr>
          <w:p w14:paraId="1B73C0D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适用条件</w:t>
            </w:r>
          </w:p>
        </w:tc>
        <w:tc>
          <w:tcPr>
            <w:tcW w:w="3585" w:type="dxa"/>
            <w:noWrap w:val="0"/>
            <w:vAlign w:val="center"/>
          </w:tcPr>
          <w:p w14:paraId="51F00AD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法律、法规和规章依据</w:t>
            </w:r>
          </w:p>
        </w:tc>
        <w:tc>
          <w:tcPr>
            <w:tcW w:w="1589" w:type="dxa"/>
            <w:noWrap w:val="0"/>
            <w:vAlign w:val="center"/>
          </w:tcPr>
          <w:p w14:paraId="6AB4297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备注</w:t>
            </w:r>
          </w:p>
        </w:tc>
      </w:tr>
      <w:tr w14:paraId="7CCB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restart"/>
            <w:noWrap w:val="0"/>
            <w:vAlign w:val="center"/>
          </w:tcPr>
          <w:p w14:paraId="08490AD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从轻处罚</w:t>
            </w:r>
          </w:p>
        </w:tc>
        <w:tc>
          <w:tcPr>
            <w:tcW w:w="1223" w:type="dxa"/>
            <w:noWrap w:val="0"/>
            <w:vAlign w:val="center"/>
          </w:tcPr>
          <w:p w14:paraId="64B9B0B2">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sz w:val="32"/>
                <w:szCs w:val="32"/>
                <w:highlight w:val="none"/>
                <w:lang w:val="en-US" w:eastAsia="zh-CN"/>
              </w:rPr>
            </w:pPr>
            <w:r>
              <w:rPr>
                <w:rFonts w:hint="eastAsia" w:ascii="Times New Roman" w:hAnsi="Times New Roman" w:eastAsia="仿宋_GB2312" w:cs="Times New Roman"/>
                <w:kern w:val="2"/>
                <w:sz w:val="32"/>
                <w:szCs w:val="28"/>
                <w:highlight w:val="none"/>
                <w:lang w:val="en-US" w:eastAsia="zh-CN" w:bidi="ar-SA"/>
              </w:rPr>
              <w:t>1</w:t>
            </w:r>
          </w:p>
        </w:tc>
        <w:tc>
          <w:tcPr>
            <w:tcW w:w="2865" w:type="dxa"/>
            <w:noWrap w:val="0"/>
            <w:vAlign w:val="center"/>
          </w:tcPr>
          <w:p w14:paraId="0465417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227178C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随意倾倒、抛洒、堆放城市生活垃圾</w:t>
            </w:r>
          </w:p>
        </w:tc>
        <w:tc>
          <w:tcPr>
            <w:tcW w:w="3585" w:type="dxa"/>
            <w:noWrap w:val="0"/>
            <w:vAlign w:val="center"/>
          </w:tcPr>
          <w:p w14:paraId="15DF523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《城市生活垃圾管理办法》第十六条;《城市生活垃圾管理办法》第四十二条</w:t>
            </w:r>
          </w:p>
        </w:tc>
        <w:tc>
          <w:tcPr>
            <w:tcW w:w="1589" w:type="dxa"/>
            <w:noWrap w:val="0"/>
            <w:vAlign w:val="center"/>
          </w:tcPr>
          <w:p w14:paraId="3509DB5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33A1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continue"/>
            <w:noWrap w:val="0"/>
            <w:vAlign w:val="center"/>
          </w:tcPr>
          <w:p w14:paraId="34A4470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c>
          <w:tcPr>
            <w:tcW w:w="1223" w:type="dxa"/>
            <w:noWrap w:val="0"/>
            <w:vAlign w:val="center"/>
          </w:tcPr>
          <w:p w14:paraId="061E8AC9">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sz w:val="32"/>
                <w:szCs w:val="32"/>
                <w:highlight w:val="none"/>
                <w:lang w:val="en-US" w:eastAsia="zh-CN"/>
              </w:rPr>
            </w:pPr>
            <w:r>
              <w:rPr>
                <w:rFonts w:hint="eastAsia" w:ascii="Times New Roman" w:hAnsi="Times New Roman" w:eastAsia="仿宋_GB2312" w:cs="Times New Roman"/>
                <w:kern w:val="2"/>
                <w:sz w:val="32"/>
                <w:szCs w:val="28"/>
                <w:highlight w:val="none"/>
                <w:lang w:val="en-US" w:eastAsia="zh-CN" w:bidi="ar-SA"/>
              </w:rPr>
              <w:t>2</w:t>
            </w:r>
          </w:p>
        </w:tc>
        <w:tc>
          <w:tcPr>
            <w:tcW w:w="2865" w:type="dxa"/>
            <w:noWrap w:val="0"/>
            <w:vAlign w:val="center"/>
          </w:tcPr>
          <w:p w14:paraId="57ECB72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7FFBB99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将垃圾、泔水排入雨水管道、污水排水管道</w:t>
            </w:r>
          </w:p>
        </w:tc>
        <w:tc>
          <w:tcPr>
            <w:tcW w:w="3585" w:type="dxa"/>
            <w:noWrap w:val="0"/>
            <w:vAlign w:val="center"/>
          </w:tcPr>
          <w:p w14:paraId="22AEDCE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《宁夏回族自治区市容环境卫生管理条例》第三十六条第二款；《宁夏回族自治区市容环境卫生管理条例》第五十条</w:t>
            </w:r>
          </w:p>
        </w:tc>
        <w:tc>
          <w:tcPr>
            <w:tcW w:w="1589" w:type="dxa"/>
            <w:noWrap w:val="0"/>
            <w:vAlign w:val="center"/>
          </w:tcPr>
          <w:p w14:paraId="16AFE0A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24A7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restart"/>
            <w:noWrap w:val="0"/>
            <w:vAlign w:val="center"/>
          </w:tcPr>
          <w:p w14:paraId="2C50CFE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减轻处罚</w:t>
            </w:r>
          </w:p>
        </w:tc>
        <w:tc>
          <w:tcPr>
            <w:tcW w:w="1223" w:type="dxa"/>
            <w:noWrap w:val="0"/>
            <w:vAlign w:val="center"/>
          </w:tcPr>
          <w:p w14:paraId="0C6B4ED8">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sz w:val="32"/>
                <w:szCs w:val="32"/>
                <w:highlight w:val="none"/>
                <w:lang w:val="en-US" w:eastAsia="zh-CN"/>
              </w:rPr>
            </w:pPr>
            <w:r>
              <w:rPr>
                <w:rFonts w:hint="eastAsia" w:ascii="Times New Roman" w:hAnsi="Times New Roman" w:eastAsia="仿宋_GB2312" w:cs="Times New Roman"/>
                <w:kern w:val="2"/>
                <w:sz w:val="32"/>
                <w:szCs w:val="28"/>
                <w:highlight w:val="none"/>
                <w:lang w:val="en-US" w:eastAsia="zh-CN" w:bidi="ar-SA"/>
              </w:rPr>
              <w:t>3</w:t>
            </w:r>
          </w:p>
        </w:tc>
        <w:tc>
          <w:tcPr>
            <w:tcW w:w="2865" w:type="dxa"/>
            <w:noWrap w:val="0"/>
            <w:vAlign w:val="center"/>
          </w:tcPr>
          <w:p w14:paraId="40A3E73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5A0F72B7">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未经批准进行临时建设；未按照批准内容进行临时建设；临时建（构）筑物超过批准权限不拆除的行为</w:t>
            </w:r>
          </w:p>
        </w:tc>
        <w:tc>
          <w:tcPr>
            <w:tcW w:w="3585" w:type="dxa"/>
            <w:noWrap w:val="0"/>
            <w:vAlign w:val="center"/>
          </w:tcPr>
          <w:p w14:paraId="334B276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《中华人民共和国城乡规划法》第四十四条第一款；《中华人民共和国城乡规划法》第六十六条</w:t>
            </w:r>
          </w:p>
        </w:tc>
        <w:tc>
          <w:tcPr>
            <w:tcW w:w="1589" w:type="dxa"/>
            <w:noWrap w:val="0"/>
            <w:vAlign w:val="center"/>
          </w:tcPr>
          <w:p w14:paraId="15D6416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2AA2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continue"/>
            <w:noWrap w:val="0"/>
            <w:vAlign w:val="center"/>
          </w:tcPr>
          <w:p w14:paraId="4FF8808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c>
          <w:tcPr>
            <w:tcW w:w="1223" w:type="dxa"/>
            <w:noWrap w:val="0"/>
            <w:vAlign w:val="center"/>
          </w:tcPr>
          <w:p w14:paraId="1C47715D">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sz w:val="32"/>
                <w:szCs w:val="32"/>
                <w:highlight w:val="none"/>
                <w:lang w:val="en-US" w:eastAsia="zh-CN"/>
              </w:rPr>
            </w:pPr>
            <w:r>
              <w:rPr>
                <w:rFonts w:hint="eastAsia" w:ascii="Times New Roman" w:hAnsi="Times New Roman" w:eastAsia="仿宋_GB2312" w:cs="Times New Roman"/>
                <w:kern w:val="2"/>
                <w:sz w:val="32"/>
                <w:szCs w:val="28"/>
                <w:highlight w:val="none"/>
                <w:lang w:val="en-US" w:eastAsia="zh-CN" w:bidi="ar-SA"/>
              </w:rPr>
              <w:t>4</w:t>
            </w:r>
          </w:p>
        </w:tc>
        <w:tc>
          <w:tcPr>
            <w:tcW w:w="2865" w:type="dxa"/>
            <w:noWrap w:val="0"/>
            <w:vAlign w:val="center"/>
          </w:tcPr>
          <w:p w14:paraId="09FA04E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2DA5D7A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未取得建设工程规划许可证或者未按照建设规划许可证的规定进行建设</w:t>
            </w:r>
          </w:p>
        </w:tc>
        <w:tc>
          <w:tcPr>
            <w:tcW w:w="3585" w:type="dxa"/>
            <w:noWrap w:val="0"/>
            <w:vAlign w:val="center"/>
          </w:tcPr>
          <w:p w14:paraId="33FE2DD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《中华人民共和国城乡规划法》第四十条；《中华人民共和国城乡规划法》第六十四条</w:t>
            </w:r>
          </w:p>
        </w:tc>
        <w:tc>
          <w:tcPr>
            <w:tcW w:w="1589" w:type="dxa"/>
            <w:noWrap w:val="0"/>
            <w:vAlign w:val="center"/>
          </w:tcPr>
          <w:p w14:paraId="54AEBC6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2839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noWrap w:val="0"/>
            <w:vAlign w:val="center"/>
          </w:tcPr>
          <w:p w14:paraId="203CABA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不予处罚</w:t>
            </w:r>
          </w:p>
        </w:tc>
        <w:tc>
          <w:tcPr>
            <w:tcW w:w="1223" w:type="dxa"/>
            <w:noWrap w:val="0"/>
            <w:vAlign w:val="center"/>
          </w:tcPr>
          <w:p w14:paraId="261DEE86">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sz w:val="32"/>
                <w:szCs w:val="32"/>
                <w:highlight w:val="none"/>
                <w:lang w:val="en-US" w:eastAsia="zh-CN"/>
              </w:rPr>
            </w:pPr>
            <w:r>
              <w:rPr>
                <w:rFonts w:hint="eastAsia" w:ascii="Times New Roman" w:hAnsi="Times New Roman" w:eastAsia="仿宋_GB2312" w:cs="Times New Roman"/>
                <w:kern w:val="2"/>
                <w:sz w:val="32"/>
                <w:szCs w:val="28"/>
                <w:highlight w:val="none"/>
                <w:lang w:val="en-US" w:eastAsia="zh-CN" w:bidi="ar-SA"/>
              </w:rPr>
              <w:t>5</w:t>
            </w:r>
          </w:p>
        </w:tc>
        <w:tc>
          <w:tcPr>
            <w:tcW w:w="2865" w:type="dxa"/>
            <w:noWrap w:val="0"/>
            <w:vAlign w:val="center"/>
          </w:tcPr>
          <w:p w14:paraId="175749B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1996AF0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p>
        </w:tc>
        <w:tc>
          <w:tcPr>
            <w:tcW w:w="3585" w:type="dxa"/>
            <w:noWrap w:val="0"/>
            <w:vAlign w:val="center"/>
          </w:tcPr>
          <w:p w14:paraId="1EFFBE4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p>
        </w:tc>
        <w:tc>
          <w:tcPr>
            <w:tcW w:w="1589" w:type="dxa"/>
            <w:noWrap w:val="0"/>
            <w:vAlign w:val="center"/>
          </w:tcPr>
          <w:p w14:paraId="2D4F05C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2C99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restart"/>
            <w:noWrap w:val="0"/>
            <w:vAlign w:val="center"/>
          </w:tcPr>
          <w:p w14:paraId="43E9936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eastAsia="仿宋_GB2312" w:cs="Times New Roman"/>
                <w:sz w:val="32"/>
                <w:szCs w:val="32"/>
                <w:highlight w:val="none"/>
                <w:vertAlign w:val="baseline"/>
                <w:lang w:val="en-US" w:eastAsia="zh-CN"/>
              </w:rPr>
            </w:pPr>
          </w:p>
          <w:p w14:paraId="24955B6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eastAsia="仿宋_GB2312" w:cs="Times New Roman"/>
                <w:sz w:val="32"/>
                <w:szCs w:val="32"/>
                <w:highlight w:val="none"/>
                <w:vertAlign w:val="baseline"/>
                <w:lang w:val="en-US" w:eastAsia="zh-CN"/>
              </w:rPr>
            </w:pPr>
          </w:p>
          <w:p w14:paraId="62F7B69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免于处罚</w:t>
            </w:r>
          </w:p>
        </w:tc>
        <w:tc>
          <w:tcPr>
            <w:tcW w:w="1223" w:type="dxa"/>
            <w:noWrap w:val="0"/>
            <w:vAlign w:val="center"/>
          </w:tcPr>
          <w:p w14:paraId="545910F7">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6</w:t>
            </w:r>
          </w:p>
        </w:tc>
        <w:tc>
          <w:tcPr>
            <w:tcW w:w="2865" w:type="dxa"/>
            <w:noWrap w:val="0"/>
            <w:vAlign w:val="center"/>
          </w:tcPr>
          <w:p w14:paraId="42F4129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39C1993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擅自在村镇规划区的公共场所修建临时建筑物、构筑物和其他设施</w:t>
            </w:r>
          </w:p>
        </w:tc>
        <w:tc>
          <w:tcPr>
            <w:tcW w:w="3585" w:type="dxa"/>
            <w:noWrap w:val="0"/>
            <w:vAlign w:val="center"/>
          </w:tcPr>
          <w:p w14:paraId="1C18081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default"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《村庄和集镇规划建设管理条例》第三十二条；《村庄和集镇规划建设管理条例》第四十条</w:t>
            </w:r>
          </w:p>
        </w:tc>
        <w:tc>
          <w:tcPr>
            <w:tcW w:w="1589" w:type="dxa"/>
            <w:noWrap w:val="0"/>
            <w:vAlign w:val="center"/>
          </w:tcPr>
          <w:p w14:paraId="78DEFB5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515C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continue"/>
            <w:noWrap w:val="0"/>
            <w:vAlign w:val="center"/>
          </w:tcPr>
          <w:p w14:paraId="123D1CC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eastAsia="仿宋_GB2312" w:cs="Times New Roman"/>
                <w:sz w:val="32"/>
                <w:szCs w:val="32"/>
                <w:highlight w:val="none"/>
                <w:vertAlign w:val="baseline"/>
                <w:lang w:val="en-US" w:eastAsia="zh-CN"/>
              </w:rPr>
            </w:pPr>
          </w:p>
        </w:tc>
        <w:tc>
          <w:tcPr>
            <w:tcW w:w="1223" w:type="dxa"/>
            <w:noWrap w:val="0"/>
            <w:vAlign w:val="center"/>
          </w:tcPr>
          <w:p w14:paraId="7A35574A">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7</w:t>
            </w:r>
          </w:p>
        </w:tc>
        <w:tc>
          <w:tcPr>
            <w:tcW w:w="2865" w:type="dxa"/>
            <w:noWrap w:val="0"/>
            <w:vAlign w:val="center"/>
          </w:tcPr>
          <w:p w14:paraId="38F1E42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6005585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ascii="Calibri" w:hAnsi="Calibri" w:eastAsia="仿宋_GB2312" w:cs="Times New Roman"/>
                <w:kern w:val="2"/>
                <w:sz w:val="32"/>
                <w:szCs w:val="32"/>
                <w:highlight w:val="none"/>
                <w:vertAlign w:val="baseline"/>
                <w:lang w:val="en-US" w:eastAsia="zh-CN" w:bidi="ar-SA"/>
              </w:rPr>
            </w:pPr>
            <w:r>
              <w:rPr>
                <w:rFonts w:hint="eastAsia" w:eastAsia="仿宋_GB2312" w:cs="Times New Roman"/>
                <w:sz w:val="32"/>
                <w:szCs w:val="32"/>
                <w:highlight w:val="none"/>
                <w:vertAlign w:val="baseline"/>
                <w:lang w:val="en-US" w:eastAsia="zh-CN"/>
              </w:rPr>
              <w:t>临街建筑物的阳台外、窗外吊挂、晾晒物品的</w:t>
            </w:r>
          </w:p>
        </w:tc>
        <w:tc>
          <w:tcPr>
            <w:tcW w:w="3585" w:type="dxa"/>
            <w:noWrap w:val="0"/>
            <w:vAlign w:val="center"/>
          </w:tcPr>
          <w:p w14:paraId="1BB3B86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ascii="Calibri" w:hAnsi="Calibri" w:eastAsia="仿宋_GB2312" w:cs="Times New Roman"/>
                <w:kern w:val="2"/>
                <w:sz w:val="32"/>
                <w:szCs w:val="32"/>
                <w:highlight w:val="none"/>
                <w:vertAlign w:val="baseline"/>
                <w:lang w:val="en-US" w:eastAsia="zh-CN" w:bidi="ar-SA"/>
              </w:rPr>
            </w:pPr>
            <w:r>
              <w:rPr>
                <w:rFonts w:hint="eastAsia" w:eastAsia="仿宋_GB2312" w:cs="Times New Roman"/>
                <w:sz w:val="32"/>
                <w:szCs w:val="32"/>
                <w:highlight w:val="none"/>
                <w:vertAlign w:val="baseline"/>
                <w:lang w:val="en-US" w:eastAsia="zh-CN"/>
              </w:rPr>
              <w:t>《宁夏回族自治区市容环境卫生管理条例》第二十二条第二款；《宁夏回族自治区市容环境卫生管理条例》第四十八条第二款</w:t>
            </w:r>
          </w:p>
        </w:tc>
        <w:tc>
          <w:tcPr>
            <w:tcW w:w="1589" w:type="dxa"/>
            <w:noWrap w:val="0"/>
            <w:vAlign w:val="center"/>
          </w:tcPr>
          <w:p w14:paraId="45D8A04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70FB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continue"/>
            <w:noWrap w:val="0"/>
            <w:vAlign w:val="center"/>
          </w:tcPr>
          <w:p w14:paraId="02B445E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eastAsia="仿宋_GB2312" w:cs="Times New Roman"/>
                <w:sz w:val="32"/>
                <w:szCs w:val="32"/>
                <w:highlight w:val="none"/>
                <w:vertAlign w:val="baseline"/>
                <w:lang w:val="en-US" w:eastAsia="zh-CN"/>
              </w:rPr>
            </w:pPr>
          </w:p>
        </w:tc>
        <w:tc>
          <w:tcPr>
            <w:tcW w:w="1223" w:type="dxa"/>
            <w:noWrap w:val="0"/>
            <w:vAlign w:val="center"/>
          </w:tcPr>
          <w:p w14:paraId="5BC44A2E">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8</w:t>
            </w:r>
          </w:p>
        </w:tc>
        <w:tc>
          <w:tcPr>
            <w:tcW w:w="2865" w:type="dxa"/>
            <w:noWrap w:val="0"/>
            <w:vAlign w:val="center"/>
          </w:tcPr>
          <w:p w14:paraId="6F6EC32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1473AC3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影响市容市貌行为随地吐痰、乱扔果皮、纸屑和烟头等废弃物</w:t>
            </w:r>
          </w:p>
        </w:tc>
        <w:tc>
          <w:tcPr>
            <w:tcW w:w="3585" w:type="dxa"/>
            <w:noWrap w:val="0"/>
            <w:vAlign w:val="center"/>
          </w:tcPr>
          <w:p w14:paraId="7FDF540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《宁夏回族自治区市容环境卫生管理条例》第三十条第一款；《宁夏回族自治区市容环境卫生管理条例》第四十九条第一款</w:t>
            </w:r>
          </w:p>
        </w:tc>
        <w:tc>
          <w:tcPr>
            <w:tcW w:w="1589" w:type="dxa"/>
            <w:noWrap w:val="0"/>
            <w:vAlign w:val="center"/>
          </w:tcPr>
          <w:p w14:paraId="04B35CC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r w14:paraId="62E3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62" w:type="dxa"/>
            <w:vMerge w:val="continue"/>
            <w:noWrap w:val="0"/>
            <w:vAlign w:val="center"/>
          </w:tcPr>
          <w:p w14:paraId="2A401F1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eastAsia="仿宋_GB2312" w:cs="Times New Roman"/>
                <w:sz w:val="32"/>
                <w:szCs w:val="32"/>
                <w:highlight w:val="none"/>
                <w:vertAlign w:val="baseline"/>
                <w:lang w:val="en-US" w:eastAsia="zh-CN"/>
              </w:rPr>
            </w:pPr>
          </w:p>
        </w:tc>
        <w:tc>
          <w:tcPr>
            <w:tcW w:w="1223" w:type="dxa"/>
            <w:noWrap w:val="0"/>
            <w:vAlign w:val="center"/>
          </w:tcPr>
          <w:p w14:paraId="06E867D5">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9</w:t>
            </w:r>
          </w:p>
        </w:tc>
        <w:tc>
          <w:tcPr>
            <w:tcW w:w="2865" w:type="dxa"/>
            <w:noWrap w:val="0"/>
            <w:vAlign w:val="center"/>
          </w:tcPr>
          <w:p w14:paraId="2468A02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行政处罚</w:t>
            </w:r>
          </w:p>
        </w:tc>
        <w:tc>
          <w:tcPr>
            <w:tcW w:w="2550" w:type="dxa"/>
            <w:noWrap w:val="0"/>
            <w:vAlign w:val="center"/>
          </w:tcPr>
          <w:p w14:paraId="68C7A24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责任人不履行门前“门前三包”责任</w:t>
            </w:r>
          </w:p>
        </w:tc>
        <w:tc>
          <w:tcPr>
            <w:tcW w:w="3585" w:type="dxa"/>
            <w:noWrap w:val="0"/>
            <w:vAlign w:val="center"/>
          </w:tcPr>
          <w:p w14:paraId="5C19B97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eastAsia="仿宋_GB2312" w:cs="Times New Roman"/>
                <w:sz w:val="32"/>
                <w:szCs w:val="32"/>
                <w:highlight w:val="none"/>
                <w:vertAlign w:val="baseline"/>
                <w:lang w:val="en-US" w:eastAsia="zh-CN"/>
              </w:rPr>
            </w:pPr>
            <w:r>
              <w:rPr>
                <w:rFonts w:hint="eastAsia" w:eastAsia="仿宋_GB2312" w:cs="Times New Roman"/>
                <w:sz w:val="32"/>
                <w:szCs w:val="32"/>
                <w:highlight w:val="none"/>
                <w:vertAlign w:val="baseline"/>
                <w:lang w:val="en-US" w:eastAsia="zh-CN"/>
              </w:rPr>
              <w:t>《城市市容和</w:t>
            </w:r>
            <w:bookmarkStart w:id="0" w:name="_GoBack"/>
            <w:bookmarkEnd w:id="0"/>
            <w:r>
              <w:rPr>
                <w:rFonts w:hint="eastAsia" w:eastAsia="仿宋_GB2312" w:cs="Times New Roman"/>
                <w:sz w:val="32"/>
                <w:szCs w:val="32"/>
                <w:highlight w:val="none"/>
                <w:vertAlign w:val="baseline"/>
                <w:lang w:val="en-US" w:eastAsia="zh-CN"/>
              </w:rPr>
              <w:t>环境卫生管理条例》第三十四条第五项；《宁夏回族自治区市容环境卫生管理条例》第四十七条</w:t>
            </w:r>
          </w:p>
        </w:tc>
        <w:tc>
          <w:tcPr>
            <w:tcW w:w="1589" w:type="dxa"/>
            <w:noWrap w:val="0"/>
            <w:vAlign w:val="center"/>
          </w:tcPr>
          <w:p w14:paraId="6C3F474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center"/>
              <w:rPr>
                <w:rFonts w:hint="default" w:eastAsia="仿宋_GB2312" w:cs="Times New Roman"/>
                <w:sz w:val="32"/>
                <w:szCs w:val="32"/>
                <w:highlight w:val="none"/>
                <w:vertAlign w:val="baseline"/>
                <w:lang w:val="en-US" w:eastAsia="zh-CN"/>
              </w:rPr>
            </w:pPr>
          </w:p>
        </w:tc>
      </w:tr>
    </w:tbl>
    <w:p w14:paraId="35E64D6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YWJjMmVlN2IzMGVlNGRlMjY5ZjUwZTU2NGQ5NTgifQ=="/>
  </w:docVars>
  <w:rsids>
    <w:rsidRoot w:val="3E8500BD"/>
    <w:rsid w:val="015D0D5E"/>
    <w:rsid w:val="07BC3BC1"/>
    <w:rsid w:val="0B106E41"/>
    <w:rsid w:val="148443FC"/>
    <w:rsid w:val="18055854"/>
    <w:rsid w:val="1B947AA6"/>
    <w:rsid w:val="2F86131A"/>
    <w:rsid w:val="345624BE"/>
    <w:rsid w:val="3B552435"/>
    <w:rsid w:val="3D500EAE"/>
    <w:rsid w:val="3E8500BD"/>
    <w:rsid w:val="4CB132D9"/>
    <w:rsid w:val="4D277B84"/>
    <w:rsid w:val="52666914"/>
    <w:rsid w:val="5D924A61"/>
    <w:rsid w:val="5DF01166"/>
    <w:rsid w:val="5F9A5E4E"/>
    <w:rsid w:val="5FD96977"/>
    <w:rsid w:val="71F52906"/>
    <w:rsid w:val="7AC2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宋体" w:cs="Times New Roman"/>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UserStyle_0"/>
    <w:basedOn w:val="7"/>
    <w:qFormat/>
    <w:uiPriority w:val="0"/>
    <w:pPr>
      <w:spacing w:after="120"/>
      <w:ind w:left="420" w:leftChars="200" w:firstLine="420" w:firstLineChars="200"/>
      <w:jc w:val="both"/>
      <w:textAlignment w:val="baseline"/>
    </w:pPr>
  </w:style>
  <w:style w:type="paragraph" w:customStyle="1" w:styleId="7">
    <w:name w:val="UserStyle_1"/>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671</Words>
  <Characters>671</Characters>
  <Lines>0</Lines>
  <Paragraphs>0</Paragraphs>
  <TotalTime>2</TotalTime>
  <ScaleCrop>false</ScaleCrop>
  <LinksUpToDate>false</LinksUpToDate>
  <CharactersWithSpaces>671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2023-08-30T07:34:00Z</dcterms:created>
  <dc:creator>镇伟</dc:creator>
  <cp:lastModifiedBy>沈南望</cp:lastModifiedBy>
  <cp:lastPrinted>2023-11-14T02:59:00Z</cp:lastPrinted>
  <dcterms:modified xsi:type="dcterms:W3CDTF">2024-11-26T07:33:36Z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5A7BC2EF0D2940B59D0620904ADDD8EC_13</vt:lpwstr>
  </property>
</Properties>
</file>