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玉皇阁北街街道办事处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2022年部门预算——预算表</w:t>
      </w: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115.849804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115.849804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27.338663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27.338663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2021年执行数（决算数）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2022年预算数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2022年预算数与2021年执行数（决算数）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507.442677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107.131177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21.11%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48.120356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48.1164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0.003956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14.3314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10.7658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75.12%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60.632425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36.944821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60.93%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14.475409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6.613991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45.69%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2.669933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3.57933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97.53%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21.27726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12.56304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59.04%</w:t>
            </w:r>
          </w:p>
        </w:tc>
      </w:tr>
    </w:tbl>
    <w:p>
      <w:pPr>
        <w:widowControl/>
        <w:outlineLvl w:val="1"/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备注：因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2021年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人代会提前召开，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2021年决算尚未完成，故以实际执行数为对比数。</w:t>
      </w: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535.340267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507.402067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496.887604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496.887604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90.4812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90.4812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115.9069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44.3401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44.3401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25.0972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12.5486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21.0894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3.3228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22.376404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22.376404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33.5523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33.5523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123.3727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123.3727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</w:rPr>
              <w:t>9382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</w:rPr>
              <w:t>9382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10.514463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10.514463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3.926463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3.926463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2021年执行数（决算数）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2022年预算数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1.511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1.511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1.511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2022年预算数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2022年预算数与2021年执行数（决算数）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577.340267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400.3115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25.0972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23.687604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6.249263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33.8403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01" w:right="1587" w:bottom="1701" w:left="1587" w:header="851" w:footer="992" w:gutter="0"/>
          <w:cols w:space="720" w:num="1"/>
          <w:docGrid w:type="linesAndChars" w:linePitch="312" w:charSpace="0"/>
        </w:sectPr>
      </w:pPr>
    </w:p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DZlMmNhODQxYzczN2RiOWM0MTkxOTZkNzQ0OTIifQ=="/>
  </w:docVars>
  <w:rsids>
    <w:rsidRoot w:val="0A3B5C37"/>
    <w:rsid w:val="0A3B5C37"/>
    <w:rsid w:val="67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4763</Words>
  <Characters>6644</Characters>
  <Lines>0</Lines>
  <Paragraphs>0</Paragraphs>
  <TotalTime>4</TotalTime>
  <ScaleCrop>false</ScaleCrop>
  <LinksUpToDate>false</LinksUpToDate>
  <CharactersWithSpaces>7843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2022-05-11T09:25:00Z</dcterms:created>
  <dc:creator>小花同学。</dc:creator>
  <cp:lastModifiedBy>小花同学。</cp:lastModifiedBy>
  <dcterms:modified xsi:type="dcterms:W3CDTF">2022-05-16T02:48:54Z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B44147D8C5624A11AEEEAA04ACD0B907</vt:lpwstr>
  </property>
</Properties>
</file>