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jc w:val="center"/>
        <w:outlineLvl w:val="1"/>
        <w:rPr>
          <w:rFonts w:ascii="Times New Roman" w:hAnsi="Times New Roman" w:eastAsia="黑体"/>
          <w:kern w:val="0"/>
          <w:sz w:val="36"/>
          <w:szCs w:val="36"/>
        </w:rPr>
      </w:pPr>
      <w:r>
        <w:rPr>
          <w:rFonts w:hint="eastAsia" w:ascii="方正小标宋_GBK" w:hAnsi="方正小标宋_GBK" w:eastAsia="方正小标宋_GBK" w:cs="方正小标宋_GBK"/>
          <w:b w:val="0"/>
          <w:bCs w:val="0"/>
          <w:spacing w:val="6"/>
          <w:sz w:val="44"/>
          <w:szCs w:val="44"/>
        </w:rPr>
        <w:t>银川市兴庆区</w:t>
      </w:r>
      <w:r>
        <w:rPr>
          <w:rFonts w:hint="eastAsia" w:ascii="方正小标宋_GBK" w:hAnsi="方正小标宋_GBK" w:eastAsia="方正小标宋_GBK" w:cs="方正小标宋_GBK"/>
          <w:b w:val="0"/>
          <w:bCs w:val="0"/>
          <w:spacing w:val="6"/>
          <w:sz w:val="44"/>
          <w:szCs w:val="44"/>
          <w:lang w:val="en-US" w:eastAsia="zh-CN"/>
        </w:rPr>
        <w:t>医疗保障局</w:t>
      </w:r>
      <w:r>
        <w:rPr>
          <w:rFonts w:hint="eastAsia" w:ascii="方正小标宋_GBK" w:hAnsi="方正小标宋_GBK" w:eastAsia="方正小标宋_GBK" w:cs="方正小标宋_GBK"/>
          <w:b w:val="0"/>
          <w:bCs w:val="0"/>
          <w:spacing w:val="6"/>
          <w:sz w:val="44"/>
          <w:szCs w:val="44"/>
        </w:rPr>
        <w:t>2020年部门决算</w:t>
      </w:r>
    </w:p>
    <w:p>
      <w:pPr>
        <w:adjustRightInd w:val="0"/>
        <w:snapToGrid w:val="0"/>
        <w:spacing w:line="560" w:lineRule="exact"/>
        <w:ind w:right="160"/>
        <w:jc w:val="right"/>
        <w:rPr>
          <w:rFonts w:hint="eastAsia" w:ascii="仿宋" w:hAnsi="仿宋" w:eastAsia="仿宋"/>
          <w:sz w:val="32"/>
          <w:szCs w:val="32"/>
        </w:rPr>
      </w:pPr>
    </w:p>
    <w:p>
      <w:pPr>
        <w:adjustRightInd w:val="0"/>
        <w:snapToGrid w:val="0"/>
        <w:spacing w:line="560" w:lineRule="exact"/>
        <w:ind w:right="160"/>
        <w:jc w:val="right"/>
        <w:rPr>
          <w:rFonts w:hint="eastAsia" w:ascii="仿宋" w:hAnsi="仿宋" w:eastAsia="仿宋"/>
          <w:sz w:val="32"/>
          <w:szCs w:val="32"/>
        </w:rPr>
      </w:pPr>
    </w:p>
    <w:p>
      <w:pPr>
        <w:spacing w:before="100" w:beforeAutospacing="1" w:after="100" w:afterAutospacing="1" w:line="1000" w:lineRule="exact"/>
        <w:outlineLvl w:val="1"/>
        <w:rPr>
          <w:rFonts w:hint="eastAsia" w:ascii="Times New Roman" w:hAnsi="Times New Roman" w:eastAsia="方正小标宋简体"/>
          <w:bCs/>
          <w:kern w:val="0"/>
          <w:sz w:val="84"/>
          <w:szCs w:val="84"/>
        </w:rPr>
      </w:pPr>
    </w:p>
    <w:p>
      <w:pPr>
        <w:spacing w:before="100" w:beforeAutospacing="1" w:after="100" w:afterAutospacing="1" w:line="1000" w:lineRule="exact"/>
        <w:jc w:val="center"/>
        <w:outlineLvl w:val="1"/>
        <w:rPr>
          <w:rFonts w:hint="eastAsia" w:ascii="方正小标宋_GBK" w:hAnsi="方正小标宋_GBK" w:eastAsia="方正小标宋_GBK" w:cs="方正小标宋_GBK"/>
          <w:bCs/>
          <w:kern w:val="0"/>
          <w:sz w:val="84"/>
          <w:szCs w:val="84"/>
        </w:rPr>
      </w:pPr>
      <w:r>
        <w:rPr>
          <w:rFonts w:hint="eastAsia" w:ascii="方正小标宋_GBK" w:hAnsi="方正小标宋_GBK" w:eastAsia="方正小标宋_GBK" w:cs="方正小标宋_GBK"/>
          <w:bCs/>
          <w:kern w:val="0"/>
          <w:sz w:val="84"/>
          <w:szCs w:val="84"/>
        </w:rPr>
        <w:t>2020年度</w:t>
      </w:r>
    </w:p>
    <w:p>
      <w:pPr>
        <w:spacing w:before="100" w:beforeAutospacing="1" w:after="100" w:afterAutospacing="1" w:line="1000" w:lineRule="exact"/>
        <w:jc w:val="center"/>
        <w:outlineLvl w:val="1"/>
        <w:rPr>
          <w:rFonts w:hint="eastAsia" w:ascii="方正小标宋_GBK" w:hAnsi="方正小标宋_GBK" w:eastAsia="方正小标宋_GBK" w:cs="方正小标宋_GBK"/>
          <w:bCs/>
          <w:kern w:val="0"/>
          <w:sz w:val="84"/>
          <w:szCs w:val="84"/>
          <w:lang w:val="en-US" w:eastAsia="zh-CN"/>
        </w:rPr>
      </w:pPr>
      <w:r>
        <w:rPr>
          <w:rFonts w:hint="eastAsia" w:ascii="方正小标宋_GBK" w:hAnsi="方正小标宋_GBK" w:eastAsia="方正小标宋_GBK" w:cs="方正小标宋_GBK"/>
          <w:bCs/>
          <w:kern w:val="0"/>
          <w:sz w:val="84"/>
          <w:szCs w:val="84"/>
          <w:lang w:val="en-US" w:eastAsia="zh-CN"/>
        </w:rPr>
        <w:t>银川市兴庆区医疗保障局</w:t>
      </w:r>
      <w:r>
        <w:rPr>
          <w:rFonts w:hint="eastAsia" w:ascii="方正小标宋_GBK" w:hAnsi="方正小标宋_GBK" w:eastAsia="方正小标宋_GBK" w:cs="方正小标宋_GBK"/>
          <w:bCs/>
          <w:kern w:val="0"/>
          <w:sz w:val="84"/>
          <w:szCs w:val="84"/>
        </w:rPr>
        <w:t>决算</w:t>
      </w:r>
      <w:r>
        <w:rPr>
          <w:rFonts w:hint="eastAsia" w:ascii="方正小标宋_GBK" w:hAnsi="方正小标宋_GBK" w:eastAsia="方正小标宋_GBK" w:cs="方正小标宋_GBK"/>
          <w:bCs/>
          <w:kern w:val="0"/>
          <w:sz w:val="84"/>
          <w:szCs w:val="84"/>
          <w:lang w:val="en-US" w:eastAsia="zh-CN"/>
        </w:rPr>
        <w:t>公开</w:t>
      </w:r>
    </w:p>
    <w:p>
      <w:pPr>
        <w:spacing w:before="100" w:beforeAutospacing="1" w:after="100" w:afterAutospacing="1" w:line="1000" w:lineRule="exact"/>
        <w:jc w:val="center"/>
        <w:outlineLvl w:val="1"/>
        <w:rPr>
          <w:rFonts w:ascii="Times New Roman" w:hAnsi="Times New Roman" w:eastAsia="黑体"/>
          <w:b/>
          <w:kern w:val="0"/>
          <w:sz w:val="84"/>
          <w:szCs w:val="84"/>
        </w:rPr>
      </w:pPr>
    </w:p>
    <w:p>
      <w:pPr>
        <w:spacing w:before="100" w:beforeAutospacing="1" w:after="100" w:afterAutospacing="1" w:line="580" w:lineRule="exact"/>
        <w:outlineLvl w:val="1"/>
        <w:rPr>
          <w:rFonts w:hint="eastAsia" w:ascii="Times New Roman" w:hAnsi="Times New Roman"/>
          <w:b/>
          <w:kern w:val="0"/>
          <w:sz w:val="44"/>
          <w:szCs w:val="44"/>
        </w:rPr>
      </w:pPr>
    </w:p>
    <w:p>
      <w:pPr>
        <w:spacing w:line="580" w:lineRule="exact"/>
        <w:outlineLvl w:val="1"/>
        <w:rPr>
          <w:rFonts w:hint="eastAsia" w:ascii="Times New Roman" w:hAnsi="Times New Roman" w:eastAsia="黑体"/>
          <w:b/>
          <w:kern w:val="0"/>
          <w:sz w:val="44"/>
          <w:szCs w:val="44"/>
        </w:rPr>
      </w:pPr>
    </w:p>
    <w:p>
      <w:pPr>
        <w:spacing w:line="580" w:lineRule="exact"/>
        <w:jc w:val="center"/>
        <w:outlineLvl w:val="1"/>
        <w:rPr>
          <w:rFonts w:ascii="Times New Roman" w:hAnsi="Times New Roman" w:eastAsia="黑体"/>
          <w:b w:val="0"/>
          <w:bCs/>
          <w:kern w:val="0"/>
          <w:sz w:val="44"/>
          <w:szCs w:val="44"/>
        </w:rPr>
      </w:pPr>
    </w:p>
    <w:p>
      <w:pPr>
        <w:spacing w:line="580" w:lineRule="exact"/>
        <w:jc w:val="center"/>
        <w:outlineLvl w:val="1"/>
        <w:rPr>
          <w:rFonts w:ascii="Times New Roman" w:hAnsi="Times New Roman" w:eastAsia="黑体"/>
          <w:b w:val="0"/>
          <w:bCs/>
          <w:kern w:val="0"/>
          <w:sz w:val="44"/>
          <w:szCs w:val="44"/>
        </w:rPr>
      </w:pPr>
    </w:p>
    <w:p>
      <w:pPr>
        <w:spacing w:line="580" w:lineRule="exact"/>
        <w:jc w:val="center"/>
        <w:outlineLvl w:val="1"/>
        <w:rPr>
          <w:rFonts w:ascii="Times New Roman" w:hAnsi="Times New Roman" w:eastAsia="黑体"/>
          <w:b w:val="0"/>
          <w:bCs/>
          <w:kern w:val="0"/>
          <w:sz w:val="44"/>
          <w:szCs w:val="44"/>
        </w:rPr>
      </w:pPr>
    </w:p>
    <w:p>
      <w:pPr>
        <w:spacing w:line="580" w:lineRule="exact"/>
        <w:jc w:val="center"/>
        <w:outlineLvl w:val="1"/>
        <w:rPr>
          <w:rFonts w:ascii="Times New Roman" w:hAnsi="Times New Roman" w:eastAsia="黑体"/>
          <w:b w:val="0"/>
          <w:bCs/>
          <w:kern w:val="0"/>
          <w:sz w:val="44"/>
          <w:szCs w:val="44"/>
        </w:rPr>
      </w:pPr>
    </w:p>
    <w:p>
      <w:pPr>
        <w:spacing w:line="580" w:lineRule="exact"/>
        <w:jc w:val="center"/>
        <w:outlineLvl w:val="1"/>
        <w:rPr>
          <w:rFonts w:ascii="Times New Roman" w:hAnsi="Times New Roman" w:eastAsia="黑体"/>
          <w:b w:val="0"/>
          <w:bCs/>
          <w:kern w:val="0"/>
          <w:sz w:val="44"/>
          <w:szCs w:val="44"/>
        </w:rPr>
      </w:pPr>
    </w:p>
    <w:p>
      <w:pPr>
        <w:spacing w:line="580" w:lineRule="exact"/>
        <w:jc w:val="center"/>
        <w:outlineLvl w:val="1"/>
        <w:rPr>
          <w:rFonts w:ascii="Times New Roman" w:hAnsi="Times New Roman" w:eastAsia="黑体"/>
          <w:b w:val="0"/>
          <w:bCs/>
          <w:kern w:val="0"/>
          <w:sz w:val="44"/>
          <w:szCs w:val="44"/>
        </w:rPr>
      </w:pPr>
      <w:r>
        <w:rPr>
          <w:rFonts w:ascii="Times New Roman" w:hAnsi="Times New Roman" w:eastAsia="黑体"/>
          <w:b w:val="0"/>
          <w:bCs/>
          <w:kern w:val="0"/>
          <w:sz w:val="44"/>
          <w:szCs w:val="44"/>
        </w:rPr>
        <w:t>目  录</w:t>
      </w:r>
    </w:p>
    <w:p>
      <w:pPr>
        <w:spacing w:line="580" w:lineRule="exact"/>
        <w:jc w:val="center"/>
        <w:outlineLvl w:val="1"/>
        <w:rPr>
          <w:rFonts w:ascii="Times New Roman" w:hAnsi="Times New Roman"/>
          <w:b/>
          <w:kern w:val="0"/>
          <w:sz w:val="44"/>
          <w:szCs w:val="44"/>
        </w:rPr>
      </w:pPr>
    </w:p>
    <w:p>
      <w:pPr>
        <w:spacing w:line="580" w:lineRule="exact"/>
        <w:ind w:firstLine="156" w:firstLineChars="49"/>
        <w:outlineLvl w:val="1"/>
        <w:rPr>
          <w:rFonts w:hint="eastAsia" w:ascii="黑体" w:hAnsi="黑体" w:eastAsia="黑体" w:cs="黑体"/>
          <w:kern w:val="0"/>
          <w:sz w:val="32"/>
          <w:szCs w:val="32"/>
        </w:rPr>
      </w:pPr>
      <w:r>
        <w:rPr>
          <w:rFonts w:hint="eastAsia" w:ascii="黑体" w:hAnsi="黑体" w:eastAsia="黑体" w:cs="黑体"/>
          <w:kern w:val="0"/>
          <w:sz w:val="32"/>
          <w:szCs w:val="32"/>
        </w:rPr>
        <w:t>第一部分  单位概况</w:t>
      </w:r>
    </w:p>
    <w:p>
      <w:pPr>
        <w:spacing w:line="580" w:lineRule="exact"/>
        <w:ind w:firstLine="784" w:firstLineChars="245"/>
        <w:outlineLvl w:val="1"/>
        <w:rPr>
          <w:rFonts w:ascii="Times New Roman" w:hAnsi="Times New Roman" w:eastAsia="仿宋_GB2312"/>
          <w:b/>
          <w:kern w:val="0"/>
          <w:sz w:val="32"/>
          <w:szCs w:val="32"/>
        </w:rPr>
      </w:pPr>
      <w:r>
        <w:rPr>
          <w:rFonts w:ascii="Times New Roman" w:hAnsi="Times New Roman" w:eastAsia="仿宋_GB2312"/>
          <w:kern w:val="0"/>
          <w:sz w:val="32"/>
          <w:szCs w:val="32"/>
        </w:rPr>
        <w:t>一、部门职责</w:t>
      </w:r>
    </w:p>
    <w:p>
      <w:pPr>
        <w:spacing w:line="580" w:lineRule="exact"/>
        <w:ind w:firstLine="800" w:firstLineChars="250"/>
        <w:outlineLvl w:val="1"/>
        <w:rPr>
          <w:rFonts w:ascii="Times New Roman" w:hAnsi="Times New Roman" w:eastAsia="仿宋_GB2312"/>
          <w:kern w:val="0"/>
          <w:sz w:val="32"/>
          <w:szCs w:val="32"/>
        </w:rPr>
      </w:pPr>
      <w:r>
        <w:rPr>
          <w:rFonts w:ascii="Times New Roman" w:hAnsi="Times New Roman" w:eastAsia="仿宋_GB2312"/>
          <w:kern w:val="0"/>
          <w:sz w:val="32"/>
          <w:szCs w:val="32"/>
        </w:rPr>
        <w:t>二、机构设置</w:t>
      </w:r>
    </w:p>
    <w:p>
      <w:pPr>
        <w:spacing w:line="580" w:lineRule="exact"/>
        <w:ind w:firstLine="156" w:firstLineChars="49"/>
        <w:outlineLvl w:val="1"/>
        <w:rPr>
          <w:rFonts w:hint="eastAsia" w:ascii="黑体" w:hAnsi="黑体" w:eastAsia="黑体" w:cs="黑体"/>
          <w:kern w:val="0"/>
          <w:sz w:val="32"/>
          <w:szCs w:val="32"/>
        </w:rPr>
      </w:pPr>
      <w:r>
        <w:rPr>
          <w:rFonts w:hint="eastAsia" w:ascii="黑体" w:hAnsi="黑体" w:eastAsia="黑体" w:cs="黑体"/>
          <w:kern w:val="0"/>
          <w:sz w:val="32"/>
          <w:szCs w:val="32"/>
        </w:rPr>
        <w:t>第二部分  2020年度部门决算表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一、收入支出决算总表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二、收入决算表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三、支出决算表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四、财政拨款收入支出决算总表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五、一般公共预算财政拨款支出决算表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六、一般公共预算财政拨款基本支出决算表</w:t>
      </w:r>
    </w:p>
    <w:p>
      <w:pPr>
        <w:spacing w:line="580" w:lineRule="exact"/>
        <w:ind w:firstLine="830" w:firstLineChars="250"/>
        <w:rPr>
          <w:rFonts w:ascii="Times New Roman" w:hAnsi="Times New Roman" w:eastAsia="仿宋_GB2312"/>
          <w:sz w:val="32"/>
          <w:szCs w:val="32"/>
        </w:rPr>
      </w:pPr>
      <w:r>
        <w:rPr>
          <w:rFonts w:ascii="Times New Roman" w:hAnsi="Times New Roman" w:eastAsia="仿宋_GB2312"/>
          <w:spacing w:val="6"/>
          <w:sz w:val="32"/>
          <w:szCs w:val="32"/>
        </w:rPr>
        <w:t>七、</w:t>
      </w:r>
      <w:r>
        <w:rPr>
          <w:rFonts w:ascii="Times New Roman" w:hAnsi="Times New Roman" w:eastAsia="仿宋_GB2312"/>
          <w:sz w:val="32"/>
          <w:szCs w:val="32"/>
        </w:rPr>
        <w:t>一般公共预算财政拨款“三公”经费支出决算表</w:t>
      </w:r>
    </w:p>
    <w:p>
      <w:pPr>
        <w:spacing w:line="580" w:lineRule="exact"/>
        <w:ind w:firstLine="800" w:firstLineChars="250"/>
        <w:rPr>
          <w:rFonts w:hint="eastAsia" w:ascii="Times New Roman" w:hAnsi="Times New Roman" w:eastAsia="仿宋_GB2312"/>
          <w:sz w:val="32"/>
          <w:szCs w:val="32"/>
        </w:rPr>
      </w:pPr>
      <w:r>
        <w:rPr>
          <w:rFonts w:ascii="Times New Roman" w:hAnsi="Times New Roman" w:eastAsia="仿宋_GB2312"/>
          <w:sz w:val="32"/>
          <w:szCs w:val="32"/>
        </w:rPr>
        <w:t>八、政府性基金预算财政拨款收入支出决算表</w:t>
      </w:r>
    </w:p>
    <w:p>
      <w:pPr>
        <w:spacing w:line="58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九、国有资本经营预算财政拨款支出决算表</w:t>
      </w:r>
    </w:p>
    <w:p>
      <w:pPr>
        <w:spacing w:line="580" w:lineRule="exact"/>
        <w:ind w:firstLine="156" w:firstLineChars="49"/>
        <w:outlineLvl w:val="1"/>
        <w:rPr>
          <w:rFonts w:hint="eastAsia" w:ascii="黑体" w:hAnsi="黑体" w:eastAsia="黑体" w:cs="黑体"/>
          <w:sz w:val="32"/>
          <w:szCs w:val="32"/>
        </w:rPr>
      </w:pPr>
      <w:r>
        <w:rPr>
          <w:rFonts w:hint="eastAsia" w:ascii="黑体" w:hAnsi="黑体" w:eastAsia="黑体" w:cs="黑体"/>
          <w:kern w:val="0"/>
          <w:sz w:val="32"/>
          <w:szCs w:val="32"/>
        </w:rPr>
        <w:t>第三部分  2020年度部门决算情况说明</w:t>
      </w:r>
    </w:p>
    <w:p>
      <w:pPr>
        <w:spacing w:line="580" w:lineRule="exact"/>
        <w:rPr>
          <w:rFonts w:ascii="Times New Roman" w:hAnsi="Times New Roman" w:eastAsia="仿宋_GB2312"/>
          <w:kern w:val="0"/>
          <w:sz w:val="32"/>
          <w:szCs w:val="32"/>
        </w:rPr>
      </w:pPr>
      <w:r>
        <w:rPr>
          <w:rFonts w:ascii="Times New Roman" w:hAnsi="Times New Roman" w:eastAsia="仿宋_GB2312"/>
          <w:sz w:val="32"/>
          <w:szCs w:val="32"/>
        </w:rPr>
        <w:t xml:space="preserve">     一</w:t>
      </w:r>
      <w:r>
        <w:rPr>
          <w:rFonts w:ascii="Times New Roman" w:hAnsi="Times New Roman" w:eastAsia="仿宋_GB2312"/>
          <w:kern w:val="0"/>
          <w:sz w:val="32"/>
          <w:szCs w:val="32"/>
        </w:rPr>
        <w:t>、收入支出决算总体情况说明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二、收入决算情况说明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三、支出决算情况说明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四、财政拨款收入支出决算总体情况说明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五、一般公共预算财政拨款支出决算情况说明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六、一般公共预算财政拨款基本支出决算情况说明</w:t>
      </w:r>
    </w:p>
    <w:p>
      <w:pPr>
        <w:spacing w:line="580" w:lineRule="exact"/>
        <w:ind w:firstLine="700" w:firstLineChars="250"/>
        <w:outlineLvl w:val="1"/>
        <w:rPr>
          <w:rFonts w:ascii="Times New Roman" w:hAnsi="Times New Roman" w:eastAsia="仿宋_GB2312"/>
          <w:spacing w:val="-20"/>
          <w:kern w:val="0"/>
          <w:sz w:val="32"/>
          <w:szCs w:val="32"/>
        </w:rPr>
      </w:pPr>
      <w:r>
        <w:rPr>
          <w:rFonts w:ascii="Times New Roman" w:hAnsi="Times New Roman" w:eastAsia="仿宋_GB2312"/>
          <w:spacing w:val="-20"/>
          <w:kern w:val="0"/>
          <w:sz w:val="32"/>
          <w:szCs w:val="32"/>
        </w:rPr>
        <w:t xml:space="preserve"> 七、一般公共预算财政拨款“三公”经费支出决算情况说明</w:t>
      </w:r>
    </w:p>
    <w:p>
      <w:pPr>
        <w:spacing w:line="580" w:lineRule="exact"/>
        <w:ind w:firstLine="800" w:firstLineChars="250"/>
        <w:outlineLvl w:val="1"/>
        <w:rPr>
          <w:rFonts w:hint="eastAsia" w:ascii="Times New Roman" w:hAnsi="Times New Roman" w:eastAsia="仿宋_GB2312"/>
          <w:kern w:val="0"/>
          <w:sz w:val="32"/>
          <w:szCs w:val="32"/>
        </w:rPr>
      </w:pPr>
      <w:r>
        <w:rPr>
          <w:rFonts w:ascii="Times New Roman" w:hAnsi="Times New Roman" w:eastAsia="仿宋_GB2312"/>
          <w:kern w:val="0"/>
          <w:sz w:val="32"/>
          <w:szCs w:val="32"/>
        </w:rPr>
        <w:t>八、政府性基金预算财政拨款收入支出决算情况说明</w:t>
      </w:r>
    </w:p>
    <w:p>
      <w:pPr>
        <w:spacing w:line="58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九、国有资本经营预算财政拨款支出决算情况说明</w:t>
      </w:r>
    </w:p>
    <w:p>
      <w:pPr>
        <w:spacing w:line="580" w:lineRule="exact"/>
        <w:ind w:firstLine="800" w:firstLineChars="250"/>
        <w:outlineLvl w:val="1"/>
        <w:rPr>
          <w:rFonts w:ascii="Times New Roman" w:hAnsi="Times New Roman" w:eastAsia="仿宋_GB2312"/>
          <w:kern w:val="0"/>
          <w:sz w:val="32"/>
          <w:szCs w:val="32"/>
        </w:rPr>
      </w:pPr>
      <w:r>
        <w:rPr>
          <w:rFonts w:hint="eastAsia" w:ascii="Times New Roman" w:hAnsi="Times New Roman" w:eastAsia="仿宋_GB2312"/>
          <w:kern w:val="0"/>
          <w:sz w:val="32"/>
          <w:szCs w:val="32"/>
        </w:rPr>
        <w:t>十</w:t>
      </w:r>
      <w:r>
        <w:rPr>
          <w:rFonts w:ascii="Times New Roman" w:hAnsi="Times New Roman" w:eastAsia="仿宋_GB2312"/>
          <w:kern w:val="0"/>
          <w:sz w:val="32"/>
          <w:szCs w:val="32"/>
        </w:rPr>
        <w:t>、其他重要事项的情况说明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（一）机关运行经费支出情况说明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（二）政府采购情况说明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（三）国有资产占有使用情况说明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（四）预算绩效管理工作开展情况说明</w:t>
      </w:r>
    </w:p>
    <w:p>
      <w:pPr>
        <w:spacing w:line="580" w:lineRule="exact"/>
        <w:ind w:firstLine="313" w:firstLineChars="98"/>
        <w:outlineLvl w:val="1"/>
        <w:rPr>
          <w:rFonts w:hint="eastAsia" w:ascii="黑体" w:hAnsi="黑体" w:eastAsia="黑体" w:cs="黑体"/>
          <w:kern w:val="0"/>
          <w:sz w:val="32"/>
          <w:szCs w:val="32"/>
        </w:rPr>
      </w:pPr>
      <w:r>
        <w:rPr>
          <w:rFonts w:hint="eastAsia" w:ascii="黑体" w:hAnsi="黑体" w:eastAsia="黑体" w:cs="黑体"/>
          <w:kern w:val="0"/>
          <w:sz w:val="32"/>
          <w:szCs w:val="32"/>
        </w:rPr>
        <w:t>第四部分  名词解释</w:t>
      </w:r>
    </w:p>
    <w:p>
      <w:pPr>
        <w:spacing w:line="580" w:lineRule="exact"/>
        <w:outlineLvl w:val="1"/>
        <w:rPr>
          <w:rFonts w:ascii="Times New Roman" w:hAnsi="Times New Roman" w:eastAsia="仿宋_GB2312"/>
          <w:b/>
          <w:kern w:val="0"/>
          <w:sz w:val="32"/>
          <w:szCs w:val="32"/>
        </w:rPr>
      </w:pPr>
    </w:p>
    <w:p>
      <w:pPr>
        <w:spacing w:line="580" w:lineRule="exact"/>
        <w:outlineLvl w:val="1"/>
        <w:rPr>
          <w:rFonts w:ascii="Times New Roman" w:hAnsi="Times New Roman" w:eastAsia="仿宋_GB2312"/>
          <w:b/>
          <w:kern w:val="0"/>
          <w:sz w:val="32"/>
          <w:szCs w:val="32"/>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widowControl/>
        <w:spacing w:line="580" w:lineRule="exact"/>
        <w:ind w:firstLine="1100" w:firstLineChars="250"/>
        <w:outlineLvl w:val="1"/>
        <w:rPr>
          <w:rFonts w:ascii="Times New Roman" w:hAnsi="Times New Roman" w:eastAsia="方正小标宋简体"/>
          <w:kern w:val="0"/>
          <w:sz w:val="44"/>
          <w:szCs w:val="44"/>
        </w:rPr>
      </w:pPr>
    </w:p>
    <w:p>
      <w:pPr>
        <w:widowControl/>
        <w:spacing w:line="580" w:lineRule="exact"/>
        <w:outlineLvl w:val="1"/>
        <w:rPr>
          <w:rFonts w:ascii="Times New Roman" w:hAnsi="Times New Roman" w:eastAsia="方正小标宋简体"/>
          <w:kern w:val="0"/>
          <w:sz w:val="44"/>
          <w:szCs w:val="44"/>
        </w:rPr>
      </w:pPr>
      <w:r>
        <w:rPr>
          <w:rFonts w:ascii="Times New Roman" w:hAnsi="Times New Roman" w:eastAsia="方正小标宋简体"/>
          <w:kern w:val="0"/>
          <w:sz w:val="44"/>
          <w:szCs w:val="44"/>
        </w:rPr>
        <w:t xml:space="preserve">第一部分  </w:t>
      </w:r>
      <w:r>
        <w:rPr>
          <w:rFonts w:hint="eastAsia" w:ascii="Times New Roman" w:hAnsi="Times New Roman" w:eastAsia="方正小标宋简体"/>
          <w:kern w:val="0"/>
          <w:sz w:val="44"/>
          <w:szCs w:val="44"/>
          <w:lang w:val="en-US" w:eastAsia="zh-CN"/>
        </w:rPr>
        <w:t>银川市兴庆区医疗保障局</w:t>
      </w:r>
      <w:r>
        <w:rPr>
          <w:rFonts w:ascii="Times New Roman" w:hAnsi="Times New Roman" w:eastAsia="方正小标宋简体"/>
          <w:kern w:val="0"/>
          <w:sz w:val="44"/>
          <w:szCs w:val="44"/>
        </w:rPr>
        <w:t>单位概况</w:t>
      </w:r>
    </w:p>
    <w:p>
      <w:pPr>
        <w:widowControl/>
        <w:spacing w:line="580" w:lineRule="exact"/>
        <w:jc w:val="left"/>
        <w:rPr>
          <w:rFonts w:ascii="Times New Roman" w:hAnsi="Times New Roman" w:eastAsia="黑体"/>
          <w:b/>
          <w:bCs/>
          <w:kern w:val="0"/>
          <w:sz w:val="32"/>
          <w:szCs w:val="32"/>
        </w:rPr>
      </w:pPr>
      <w:r>
        <w:rPr>
          <w:rFonts w:ascii="Times New Roman" w:hAnsi="Times New Roman" w:eastAsia="仿宋_GB2312"/>
          <w:bCs/>
          <w:kern w:val="0"/>
          <w:sz w:val="32"/>
          <w:szCs w:val="32"/>
        </w:rPr>
        <w:t xml:space="preserve"> </w:t>
      </w:r>
    </w:p>
    <w:p>
      <w:pPr>
        <w:widowControl/>
        <w:spacing w:line="580" w:lineRule="exact"/>
        <w:ind w:firstLine="640" w:firstLineChars="200"/>
        <w:jc w:val="left"/>
        <w:rPr>
          <w:rFonts w:ascii="Times New Roman" w:hAnsi="Times New Roman" w:eastAsia="黑体"/>
          <w:bCs/>
          <w:kern w:val="0"/>
          <w:sz w:val="32"/>
          <w:szCs w:val="32"/>
        </w:rPr>
      </w:pPr>
      <w:r>
        <w:rPr>
          <w:rFonts w:ascii="Times New Roman" w:hAnsi="Times New Roman" w:eastAsia="黑体"/>
          <w:kern w:val="0"/>
          <w:sz w:val="32"/>
          <w:szCs w:val="32"/>
        </w:rPr>
        <w:t>一、部门职责</w:t>
      </w:r>
    </w:p>
    <w:p>
      <w:pPr>
        <w:widowControl/>
        <w:spacing w:line="580" w:lineRule="exact"/>
        <w:ind w:firstLine="640" w:firstLineChars="200"/>
        <w:jc w:val="left"/>
        <w:rPr>
          <w:rFonts w:ascii="Times New Roman" w:hAnsi="Times New Roman" w:eastAsia="仿宋_GB2312"/>
          <w:bCs/>
          <w:kern w:val="0"/>
          <w:sz w:val="32"/>
          <w:szCs w:val="32"/>
        </w:rPr>
      </w:pPr>
      <w:r>
        <w:rPr>
          <w:rFonts w:hint="eastAsia" w:ascii="Times New Roman" w:hAnsi="Times New Roman" w:eastAsia="仿宋_GB2312"/>
          <w:bCs/>
          <w:kern w:val="0"/>
          <w:sz w:val="32"/>
          <w:szCs w:val="32"/>
          <w:lang w:val="en-US" w:eastAsia="zh-CN"/>
        </w:rPr>
        <w:t>银川市</w:t>
      </w:r>
      <w:r>
        <w:rPr>
          <w:rFonts w:hint="eastAsia" w:ascii="Times New Roman" w:hAnsi="Times New Roman" w:eastAsia="仿宋_GB2312"/>
          <w:bCs/>
          <w:kern w:val="0"/>
          <w:sz w:val="32"/>
          <w:szCs w:val="32"/>
        </w:rPr>
        <w:t>兴庆区医疗保障局</w:t>
      </w:r>
      <w:r>
        <w:rPr>
          <w:rFonts w:hint="eastAsia" w:ascii="Times New Roman" w:hAnsi="Times New Roman" w:eastAsia="仿宋_GB2312"/>
          <w:bCs/>
          <w:kern w:val="0"/>
          <w:sz w:val="32"/>
          <w:szCs w:val="32"/>
          <w:lang w:val="en-US" w:eastAsia="zh-CN"/>
        </w:rPr>
        <w:t>部门</w:t>
      </w:r>
      <w:r>
        <w:rPr>
          <w:rFonts w:hint="eastAsia" w:ascii="Times New Roman" w:hAnsi="Times New Roman" w:eastAsia="仿宋_GB2312"/>
          <w:bCs/>
          <w:kern w:val="0"/>
          <w:sz w:val="32"/>
          <w:szCs w:val="32"/>
        </w:rPr>
        <w:t>主要职能</w:t>
      </w:r>
      <w:r>
        <w:rPr>
          <w:rFonts w:hint="eastAsia" w:ascii="Times New Roman" w:hAnsi="Times New Roman" w:eastAsia="仿宋_GB2312"/>
          <w:bCs/>
          <w:kern w:val="0"/>
          <w:sz w:val="32"/>
          <w:szCs w:val="32"/>
          <w:lang w:val="en-US" w:eastAsia="zh-CN"/>
        </w:rPr>
        <w:t>为，</w:t>
      </w:r>
      <w:r>
        <w:rPr>
          <w:rFonts w:hint="eastAsia" w:ascii="Times New Roman" w:hAnsi="Times New Roman" w:eastAsia="仿宋_GB2312"/>
          <w:bCs/>
          <w:kern w:val="0"/>
          <w:sz w:val="32"/>
          <w:szCs w:val="32"/>
        </w:rPr>
        <w:t>承担的城乡居民基本医疗保险、生育保险、医疗救助、深度贫困人员医疗保险支付、药品和医疗服务价格管理</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lang w:val="en-US" w:eastAsia="zh-CN"/>
        </w:rPr>
        <w:t>并进行</w:t>
      </w:r>
      <w:r>
        <w:rPr>
          <w:rFonts w:hint="eastAsia" w:ascii="Times New Roman" w:hAnsi="Times New Roman" w:eastAsia="仿宋_GB2312"/>
          <w:bCs/>
          <w:kern w:val="0"/>
          <w:sz w:val="32"/>
          <w:szCs w:val="32"/>
        </w:rPr>
        <w:t>基金监管、执行医疗保险筹资和待遇政策等职责</w:t>
      </w:r>
      <w:r>
        <w:rPr>
          <w:rFonts w:ascii="Times New Roman" w:hAnsi="Times New Roman" w:eastAsia="仿宋_GB2312"/>
          <w:bCs/>
          <w:kern w:val="0"/>
          <w:sz w:val="32"/>
          <w:szCs w:val="32"/>
        </w:rPr>
        <w:t>。</w:t>
      </w:r>
    </w:p>
    <w:p>
      <w:pPr>
        <w:widowControl/>
        <w:spacing w:line="580" w:lineRule="exact"/>
        <w:ind w:firstLine="640" w:firstLineChars="200"/>
        <w:jc w:val="left"/>
        <w:rPr>
          <w:rFonts w:ascii="Times New Roman" w:hAnsi="Times New Roman" w:eastAsia="黑体"/>
          <w:bCs/>
          <w:kern w:val="0"/>
          <w:sz w:val="32"/>
          <w:szCs w:val="32"/>
        </w:rPr>
      </w:pPr>
      <w:r>
        <w:rPr>
          <w:rFonts w:ascii="Times New Roman" w:hAnsi="Times New Roman" w:eastAsia="黑体"/>
          <w:bCs/>
          <w:kern w:val="0"/>
          <w:sz w:val="32"/>
          <w:szCs w:val="32"/>
        </w:rPr>
        <w:t>二、机构设置</w:t>
      </w:r>
    </w:p>
    <w:p>
      <w:pPr>
        <w:widowControl/>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val="en-US" w:eastAsia="zh-CN"/>
        </w:rPr>
        <w:t>银川市兴庆区医疗保障局为2019年新成立预算单位。</w:t>
      </w:r>
      <w:r>
        <w:rPr>
          <w:rFonts w:hint="eastAsia" w:ascii="仿宋_GB2312" w:hAnsi="仿宋_GB2312" w:eastAsia="仿宋_GB2312" w:cs="仿宋_GB2312"/>
          <w:kern w:val="0"/>
          <w:sz w:val="32"/>
          <w:szCs w:val="32"/>
        </w:rPr>
        <w:t>按照部门决算编报要求，纳入2020年度部门决算编报范围的单位共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二级预算单位。</w:t>
      </w:r>
    </w:p>
    <w:p>
      <w:pPr>
        <w:widowControl/>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根据《中共银川市委办公厅 银川市人民政府办公厅关于印发&lt;兴庆区机构改革方案&gt;通知》，兴庆区成立了“兴庆区</w:t>
      </w:r>
      <w:r>
        <w:rPr>
          <w:rFonts w:hint="eastAsia" w:ascii="仿宋_GB2312" w:hAnsi="仿宋_GB2312" w:eastAsia="仿宋_GB2312" w:cs="仿宋_GB2312"/>
          <w:kern w:val="0"/>
          <w:sz w:val="32"/>
          <w:szCs w:val="32"/>
          <w:lang w:val="en-US" w:eastAsia="zh-CN"/>
        </w:rPr>
        <w:t>医疗保障局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FFFFFF" w:themeColor="background1"/>
          <w:kern w:val="0"/>
          <w:sz w:val="32"/>
          <w:szCs w:val="32"/>
          <w:highlight w:val="none"/>
          <w14:textFill>
            <w14:solidFill>
              <w14:schemeClr w14:val="bg1"/>
            </w14:solidFill>
          </w14:textFill>
        </w:rPr>
        <w:t>。</w:t>
      </w:r>
    </w:p>
    <w:p>
      <w:pPr>
        <w:widowControl/>
        <w:rPr>
          <w:rFonts w:hint="eastAsia" w:ascii="Times New Roman" w:hAnsi="Times New Roman"/>
          <w:b/>
          <w:bCs/>
          <w:color w:val="000000"/>
          <w:kern w:val="0"/>
          <w:sz w:val="44"/>
          <w:szCs w:val="44"/>
        </w:rPr>
      </w:pPr>
    </w:p>
    <w:p>
      <w:pPr>
        <w:widowControl/>
        <w:rPr>
          <w:rFonts w:hint="eastAsia" w:ascii="Times New Roman" w:hAnsi="Times New Roman"/>
          <w:b/>
          <w:bCs/>
          <w:color w:val="auto"/>
          <w:kern w:val="0"/>
          <w:sz w:val="44"/>
          <w:szCs w:val="44"/>
        </w:rPr>
      </w:pPr>
    </w:p>
    <w:p>
      <w:pPr>
        <w:widowControl/>
        <w:rPr>
          <w:rFonts w:hint="eastAsia" w:ascii="Times New Roman" w:hAnsi="Times New Roman"/>
          <w:b/>
          <w:bCs/>
          <w:color w:val="000000"/>
          <w:kern w:val="0"/>
          <w:sz w:val="44"/>
          <w:szCs w:val="44"/>
        </w:rPr>
      </w:pPr>
    </w:p>
    <w:p>
      <w:pPr>
        <w:widowControl/>
        <w:spacing w:line="580" w:lineRule="exact"/>
        <w:ind w:firstLine="1100" w:firstLineChars="250"/>
        <w:outlineLvl w:val="1"/>
        <w:rPr>
          <w:rFonts w:ascii="Times New Roman" w:hAnsi="Times New Roman" w:eastAsia="方正小标宋简体"/>
          <w:kern w:val="0"/>
          <w:sz w:val="44"/>
          <w:szCs w:val="44"/>
        </w:rPr>
      </w:pPr>
      <w:r>
        <w:rPr>
          <w:rFonts w:ascii="Times New Roman" w:hAnsi="Times New Roman" w:eastAsia="方正小标宋简体"/>
          <w:kern w:val="0"/>
          <w:sz w:val="44"/>
          <w:szCs w:val="44"/>
        </w:rPr>
        <w:t xml:space="preserve">第二部分 </w:t>
      </w:r>
      <w:r>
        <w:rPr>
          <w:rFonts w:hint="eastAsia" w:ascii="Times New Roman" w:hAnsi="Times New Roman" w:eastAsia="方正小标宋简体"/>
          <w:kern w:val="0"/>
          <w:sz w:val="44"/>
          <w:szCs w:val="44"/>
        </w:rPr>
        <w:t>2020</w:t>
      </w:r>
      <w:r>
        <w:rPr>
          <w:rFonts w:ascii="Times New Roman" w:hAnsi="Times New Roman" w:eastAsia="方正小标宋简体"/>
          <w:kern w:val="0"/>
          <w:sz w:val="44"/>
          <w:szCs w:val="44"/>
        </w:rPr>
        <w:t>年度部门决算表</w:t>
      </w:r>
    </w:p>
    <w:p>
      <w:pPr>
        <w:widowControl/>
        <w:ind w:firstLine="3048" w:firstLineChars="690"/>
        <w:rPr>
          <w:rFonts w:hint="eastAsia" w:ascii="Times New Roman" w:hAnsi="Times New Roman"/>
          <w:b/>
          <w:bCs/>
          <w:color w:val="000000"/>
          <w:kern w:val="0"/>
          <w:sz w:val="44"/>
          <w:szCs w:val="44"/>
        </w:rPr>
        <w:sectPr>
          <w:footerReference r:id="rId3" w:type="default"/>
          <w:footerReference r:id="rId4" w:type="even"/>
          <w:pgSz w:w="11906" w:h="16838"/>
          <w:pgMar w:top="2098" w:right="1474" w:bottom="1984" w:left="1587" w:header="851" w:footer="1020" w:gutter="0"/>
          <w:pgNumType w:fmt="numberInDash" w:start="1"/>
          <w:cols w:space="0" w:num="1"/>
          <w:rtlGutter w:val="0"/>
          <w:docGrid w:type="lines" w:linePitch="318" w:charSpace="0"/>
        </w:sectPr>
      </w:pPr>
      <w:r>
        <w:rPr>
          <w:rFonts w:hint="eastAsia" w:ascii="Times New Roman" w:hAnsi="Times New Roman"/>
          <w:b/>
          <w:bCs/>
          <w:color w:val="000000"/>
          <w:kern w:val="0"/>
          <w:sz w:val="44"/>
          <w:szCs w:val="44"/>
        </w:rPr>
        <w:t>（详见附件2）</w:t>
      </w:r>
    </w:p>
    <w:p>
      <w:pPr>
        <w:spacing w:line="560" w:lineRule="exact"/>
        <w:jc w:val="center"/>
        <w:outlineLvl w:val="1"/>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第三部分 2020年度部门决算情况说明</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p>
    <w:p>
      <w:pPr>
        <w:spacing w:line="540" w:lineRule="exact"/>
        <w:outlineLvl w:val="1"/>
        <w:rPr>
          <w:rFonts w:ascii="Times New Roman" w:hAnsi="Times New Roman" w:eastAsia="黑体"/>
          <w:kern w:val="0"/>
          <w:sz w:val="32"/>
          <w:szCs w:val="32"/>
        </w:rPr>
      </w:pPr>
      <w:r>
        <w:rPr>
          <w:rFonts w:ascii="Times New Roman" w:hAnsi="Times New Roman" w:eastAsia="楷体_GB2312"/>
          <w:b/>
          <w:bCs/>
          <w:kern w:val="0"/>
          <w:sz w:val="32"/>
          <w:szCs w:val="32"/>
        </w:rPr>
        <w:t xml:space="preserve">   </w:t>
      </w:r>
      <w:r>
        <w:rPr>
          <w:rFonts w:ascii="Times New Roman" w:hAnsi="Times New Roman" w:eastAsia="黑体"/>
          <w:kern w:val="0"/>
          <w:sz w:val="32"/>
          <w:szCs w:val="32"/>
        </w:rPr>
        <w:t>一、收入支出决算总体情况说明</w:t>
      </w:r>
    </w:p>
    <w:p>
      <w:pPr>
        <w:spacing w:line="540" w:lineRule="exact"/>
        <w:ind w:firstLine="537" w:firstLineChars="168"/>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2020年度收入总计</w:t>
      </w:r>
      <w:r>
        <w:rPr>
          <w:rFonts w:hint="eastAsia" w:ascii="仿宋_GB2312" w:hAnsi="仿宋_GB2312" w:eastAsia="仿宋_GB2312" w:cs="仿宋_GB2312"/>
          <w:kern w:val="0"/>
          <w:sz w:val="32"/>
          <w:szCs w:val="32"/>
          <w:u w:val="single"/>
          <w:lang w:val="en-US" w:eastAsia="zh-CN"/>
        </w:rPr>
        <w:t>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223</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158</w:t>
      </w:r>
      <w:r>
        <w:rPr>
          <w:rFonts w:hint="eastAsia" w:ascii="仿宋_GB2312" w:hAnsi="仿宋_GB2312" w:eastAsia="仿宋_GB2312" w:cs="仿宋_GB2312"/>
          <w:color w:val="auto"/>
          <w:kern w:val="0"/>
          <w:sz w:val="32"/>
          <w:szCs w:val="32"/>
          <w:u w:val="single"/>
          <w:lang w:val="en-US" w:eastAsia="zh-CN"/>
        </w:rPr>
        <w:t>.35</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768</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798.55</w:t>
      </w:r>
      <w:r>
        <w:rPr>
          <w:rFonts w:hint="eastAsia" w:ascii="仿宋_GB2312" w:hAnsi="仿宋_GB2312" w:eastAsia="仿宋_GB2312" w:cs="仿宋_GB2312"/>
          <w:kern w:val="0"/>
          <w:sz w:val="32"/>
          <w:szCs w:val="32"/>
        </w:rPr>
        <w:t>元。与上年相比，收入相比</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color w:val="auto"/>
          <w:kern w:val="0"/>
          <w:sz w:val="32"/>
          <w:szCs w:val="32"/>
          <w:u w:val="single"/>
          <w:lang w:val="en-US" w:eastAsia="zh-CN"/>
        </w:rPr>
        <w:t>8</w:t>
      </w:r>
      <w:r>
        <w:rPr>
          <w:rFonts w:hint="eastAsia" w:ascii="微软雅黑" w:hAnsi="微软雅黑" w:eastAsia="微软雅黑" w:cs="微软雅黑"/>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926</w:t>
      </w:r>
      <w:r>
        <w:rPr>
          <w:rFonts w:hint="eastAsia" w:ascii="微软雅黑" w:hAnsi="微软雅黑" w:eastAsia="微软雅黑" w:cs="微软雅黑"/>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631.25</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67.88</w:t>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rPr>
        <w:t>，与上年相比，支出相比</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779</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400.39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50.04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color w:val="auto"/>
          <w:kern w:val="0"/>
          <w:sz w:val="32"/>
          <w:szCs w:val="32"/>
          <w:highlight w:val="none"/>
          <w:lang w:val="en-US" w:eastAsia="zh-CN"/>
        </w:rPr>
        <w:t>2020年</w:t>
      </w:r>
      <w:r>
        <w:rPr>
          <w:rFonts w:hint="eastAsia" w:ascii="仿宋_GB2312" w:hAnsi="仿宋_GB2312" w:eastAsia="仿宋_GB2312" w:cs="仿宋_GB2312"/>
          <w:color w:val="auto"/>
          <w:kern w:val="0"/>
          <w:sz w:val="32"/>
          <w:szCs w:val="32"/>
          <w:highlight w:val="none"/>
          <w:lang w:eastAsia="zh-CN"/>
        </w:rPr>
        <w:t>居民医疗救助金由银川市统筹管理，将上年结余指标余额支付后，不再从基本户上支出。</w:t>
      </w:r>
      <w:r>
        <w:rPr>
          <w:rFonts w:hint="eastAsia" w:ascii="仿宋_GB2312" w:hAnsi="仿宋_GB2312" w:eastAsia="仿宋_GB2312" w:cs="仿宋_GB2312"/>
          <w:color w:val="auto"/>
          <w:kern w:val="0"/>
          <w:sz w:val="32"/>
          <w:szCs w:val="32"/>
          <w:highlight w:val="none"/>
        </w:rPr>
        <w:t>本年度</w:t>
      </w:r>
      <w:r>
        <w:rPr>
          <w:rFonts w:hint="eastAsia" w:ascii="仿宋_GB2312" w:hAnsi="仿宋_GB2312" w:eastAsia="仿宋_GB2312" w:cs="仿宋_GB2312"/>
          <w:color w:val="auto"/>
          <w:kern w:val="0"/>
          <w:sz w:val="32"/>
          <w:szCs w:val="32"/>
          <w:highlight w:val="none"/>
          <w:lang w:val="en-US" w:eastAsia="zh-CN"/>
        </w:rPr>
        <w:t>减少2017年-2018年“一站式”结算财政兜底资金，减少第3批城乡特困群众大病医疗救助金，</w:t>
      </w:r>
      <w:r>
        <w:rPr>
          <w:rFonts w:hint="eastAsia" w:ascii="仿宋_GB2312" w:hAnsi="仿宋_GB2312" w:eastAsia="仿宋_GB2312" w:cs="仿宋_GB2312"/>
          <w:kern w:val="0"/>
          <w:sz w:val="32"/>
          <w:szCs w:val="32"/>
          <w:highlight w:val="none"/>
          <w:lang w:val="en-US" w:eastAsia="zh-CN"/>
        </w:rPr>
        <w:t>减少了城乡居民医保财政补助金，以及本年度在职、聘用人员增资，及聘用人员民族团结奖、政府效能奖</w:t>
      </w:r>
      <w:r>
        <w:rPr>
          <w:rFonts w:hint="eastAsia" w:ascii="仿宋_GB2312" w:hAnsi="仿宋_GB2312" w:eastAsia="仿宋_GB2312" w:cs="仿宋_GB2312"/>
          <w:kern w:val="0"/>
          <w:sz w:val="32"/>
          <w:szCs w:val="32"/>
          <w:highlight w:val="none"/>
        </w:rPr>
        <w:t>。</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r>
        <w:rPr>
          <w:rFonts w:ascii="Times New Roman" w:hAnsi="Times New Roman" w:eastAsia="楷体_GB2312"/>
          <w:b/>
          <w:bCs/>
          <w:kern w:val="0"/>
          <w:sz w:val="32"/>
          <w:szCs w:val="32"/>
        </w:rPr>
        <w:t xml:space="preserve"> </w:t>
      </w:r>
      <w:r>
        <w:rPr>
          <w:rFonts w:ascii="Times New Roman" w:hAnsi="Times New Roman" w:eastAsia="黑体"/>
          <w:kern w:val="0"/>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2020年度</w:t>
      </w:r>
      <w:r>
        <w:rPr>
          <w:rFonts w:hint="eastAsia" w:ascii="仿宋_GB2312" w:hAnsi="仿宋_GB2312" w:eastAsia="仿宋_GB2312" w:cs="仿宋_GB2312"/>
          <w:sz w:val="32"/>
          <w:szCs w:val="32"/>
        </w:rPr>
        <w:t>收入合计</w:t>
      </w:r>
      <w:r>
        <w:rPr>
          <w:rFonts w:hint="eastAsia" w:ascii="仿宋_GB2312" w:hAnsi="仿宋_GB2312" w:eastAsia="仿宋_GB2312" w:cs="仿宋_GB2312"/>
          <w:color w:val="auto"/>
          <w:kern w:val="0"/>
          <w:sz w:val="32"/>
          <w:szCs w:val="32"/>
          <w:u w:val="single"/>
          <w:lang w:val="en-US" w:eastAsia="zh-CN"/>
        </w:rPr>
        <w:t>4</w:t>
      </w:r>
      <w:r>
        <w:rPr>
          <w:rFonts w:hint="eastAsia" w:ascii="微软雅黑" w:hAnsi="微软雅黑" w:eastAsia="微软雅黑" w:cs="微软雅黑"/>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223</w:t>
      </w:r>
      <w:r>
        <w:rPr>
          <w:rFonts w:hint="eastAsia" w:ascii="微软雅黑" w:hAnsi="微软雅黑" w:eastAsia="微软雅黑" w:cs="微软雅黑"/>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158.35</w:t>
      </w:r>
      <w:r>
        <w:rPr>
          <w:rFonts w:hint="eastAsia" w:ascii="仿宋_GB2312" w:hAnsi="仿宋_GB2312" w:eastAsia="仿宋_GB2312" w:cs="仿宋_GB2312"/>
          <w:sz w:val="32"/>
          <w:szCs w:val="32"/>
        </w:rPr>
        <w:t>元，其中：财政拨款收入</w:t>
      </w:r>
      <w:r>
        <w:rPr>
          <w:rFonts w:hint="eastAsia" w:ascii="仿宋_GB2312" w:hAnsi="仿宋_GB2312" w:eastAsia="仿宋_GB2312" w:cs="仿宋_GB2312"/>
          <w:kern w:val="0"/>
          <w:sz w:val="32"/>
          <w:szCs w:val="32"/>
          <w:u w:val="single"/>
          <w:lang w:val="en-US" w:eastAsia="zh-CN"/>
        </w:rPr>
        <w:t>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148</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760.45</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98.24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kern w:val="0"/>
          <w:sz w:val="32"/>
          <w:szCs w:val="32"/>
          <w:u w:val="single"/>
          <w:lang w:val="en-US" w:eastAsia="zh-CN"/>
        </w:rPr>
        <w:t>74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397.9</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lang w:val="en-US" w:eastAsia="zh-CN"/>
        </w:rPr>
        <w:t>1.76</w:t>
      </w:r>
      <w:r>
        <w:rPr>
          <w:rFonts w:hint="eastAsia" w:ascii="仿宋_GB2312" w:hAnsi="仿宋_GB2312" w:eastAsia="仿宋_GB2312" w:cs="仿宋_GB2312"/>
          <w:sz w:val="32"/>
          <w:szCs w:val="32"/>
        </w:rPr>
        <w:t>%。</w:t>
      </w:r>
    </w:p>
    <w:p>
      <w:pPr>
        <w:spacing w:line="540" w:lineRule="exact"/>
        <w:ind w:firstLine="640" w:firstLineChars="200"/>
        <w:outlineLvl w:val="1"/>
        <w:rPr>
          <w:rFonts w:ascii="Times New Roman" w:hAnsi="Times New Roman" w:eastAsia="黑体"/>
          <w:kern w:val="0"/>
          <w:sz w:val="32"/>
          <w:szCs w:val="32"/>
        </w:rPr>
      </w:pPr>
      <w:r>
        <w:rPr>
          <w:rFonts w:ascii="Times New Roman" w:hAnsi="Times New Roman" w:eastAsia="黑体"/>
          <w:kern w:val="0"/>
          <w:sz w:val="32"/>
          <w:szCs w:val="32"/>
        </w:rPr>
        <w:t>三、支出决算情况说明</w:t>
      </w:r>
    </w:p>
    <w:p>
      <w:pPr>
        <w:spacing w:line="540" w:lineRule="exact"/>
        <w:ind w:firstLine="614" w:firstLineChars="192"/>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2020年度支出合计</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768</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798.55</w:t>
      </w:r>
      <w:r>
        <w:rPr>
          <w:rFonts w:hint="eastAsia" w:ascii="仿宋_GB2312" w:hAnsi="仿宋_GB2312" w:eastAsia="仿宋_GB2312" w:cs="仿宋_GB2312"/>
          <w:kern w:val="0"/>
          <w:sz w:val="32"/>
          <w:szCs w:val="32"/>
        </w:rPr>
        <w:t>元，其中：基本支出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046</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598.94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70.15</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u w:val="single"/>
          <w:lang w:val="en-US" w:eastAsia="zh-CN"/>
        </w:rPr>
        <w:t>1</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722</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199.61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29.85</w:t>
      </w:r>
      <w:r>
        <w:rPr>
          <w:rFonts w:hint="eastAsia" w:ascii="仿宋_GB2312" w:hAnsi="仿宋_GB2312" w:eastAsia="仿宋_GB2312" w:cs="仿宋_GB2312"/>
          <w:kern w:val="0"/>
          <w:sz w:val="32"/>
          <w:szCs w:val="32"/>
        </w:rPr>
        <w:t>%；上缴上级支出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%；经营支出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%；对附属单位补助支出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四、财政拨款收入支出决算总体情况说明</w:t>
      </w:r>
    </w:p>
    <w:p>
      <w:pPr>
        <w:spacing w:line="540" w:lineRule="exact"/>
        <w:ind w:firstLine="537" w:firstLineChars="168"/>
        <w:outlineLvl w:val="1"/>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2020年度财政拨款收入总计</w:t>
      </w:r>
      <w:r>
        <w:rPr>
          <w:rFonts w:hint="eastAsia" w:ascii="仿宋_GB2312" w:hAnsi="仿宋_GB2312" w:eastAsia="仿宋_GB2312" w:cs="仿宋_GB2312"/>
          <w:kern w:val="0"/>
          <w:sz w:val="32"/>
          <w:szCs w:val="32"/>
          <w:u w:val="single"/>
          <w:lang w:val="en-US" w:eastAsia="zh-CN"/>
        </w:rPr>
        <w:t>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148</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760.45</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695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000.65</w:t>
      </w:r>
      <w:r>
        <w:rPr>
          <w:rFonts w:hint="eastAsia" w:ascii="仿宋_GB2312" w:hAnsi="仿宋_GB2312" w:eastAsia="仿宋_GB2312" w:cs="仿宋_GB2312"/>
          <w:kern w:val="0"/>
          <w:sz w:val="32"/>
          <w:szCs w:val="32"/>
        </w:rPr>
        <w:t>元。与上年相比，财政拨款收</w:t>
      </w:r>
      <w:r>
        <w:rPr>
          <w:rFonts w:hint="eastAsia" w:ascii="仿宋_GB2312" w:hAnsi="仿宋_GB2312" w:eastAsia="仿宋_GB2312" w:cs="仿宋_GB2312"/>
          <w:kern w:val="0"/>
          <w:sz w:val="32"/>
          <w:szCs w:val="32"/>
          <w:lang w:val="en-US" w:eastAsia="zh-CN"/>
        </w:rPr>
        <w:t>入减少</w:t>
      </w:r>
      <w:r>
        <w:rPr>
          <w:rFonts w:hint="eastAsia" w:ascii="仿宋_GB2312" w:hAnsi="仿宋_GB2312" w:eastAsia="仿宋_GB2312" w:cs="仿宋_GB2312"/>
          <w:kern w:val="0"/>
          <w:sz w:val="32"/>
          <w:szCs w:val="32"/>
          <w:u w:val="single"/>
          <w:lang w:val="en-US" w:eastAsia="zh-CN"/>
        </w:rPr>
        <w:t>8</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994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659.17</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u w:val="single"/>
          <w:lang w:val="en-US" w:eastAsia="zh-CN"/>
        </w:rPr>
        <w:t>68.43</w:t>
      </w:r>
      <w:r>
        <w:rPr>
          <w:rFonts w:hint="eastAsia" w:ascii="仿宋_GB2312" w:hAnsi="仿宋_GB2312" w:eastAsia="仿宋_GB2312" w:cs="仿宋_GB2312"/>
          <w:kern w:val="0"/>
          <w:sz w:val="32"/>
          <w:szCs w:val="32"/>
        </w:rPr>
        <w:t>%，与上年相比，财政拨款</w:t>
      </w:r>
      <w:r>
        <w:rPr>
          <w:rFonts w:hint="eastAsia" w:ascii="仿宋_GB2312" w:hAnsi="仿宋_GB2312" w:eastAsia="仿宋_GB2312" w:cs="仿宋_GB2312"/>
          <w:kern w:val="0"/>
          <w:sz w:val="32"/>
          <w:szCs w:val="32"/>
          <w:lang w:val="en-US" w:eastAsia="zh-CN"/>
        </w:rPr>
        <w:t>支出减少</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846</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828.37</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u w:val="single"/>
          <w:lang w:val="en-US" w:eastAsia="zh-CN"/>
        </w:rPr>
        <w:t>50.66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color w:val="auto"/>
          <w:kern w:val="0"/>
          <w:sz w:val="32"/>
          <w:szCs w:val="32"/>
          <w:highlight w:val="none"/>
          <w:lang w:val="en-US" w:eastAsia="zh-CN"/>
        </w:rPr>
        <w:t>2020年</w:t>
      </w:r>
      <w:r>
        <w:rPr>
          <w:rFonts w:hint="eastAsia" w:ascii="仿宋_GB2312" w:hAnsi="仿宋_GB2312" w:eastAsia="仿宋_GB2312" w:cs="仿宋_GB2312"/>
          <w:color w:val="auto"/>
          <w:kern w:val="0"/>
          <w:sz w:val="32"/>
          <w:szCs w:val="32"/>
          <w:highlight w:val="none"/>
          <w:lang w:eastAsia="zh-CN"/>
        </w:rPr>
        <w:t>居民医疗救助金由银川市统筹管理，不再从基本户上支出，</w:t>
      </w:r>
      <w:r>
        <w:rPr>
          <w:rFonts w:hint="eastAsia" w:ascii="仿宋_GB2312" w:hAnsi="仿宋_GB2312" w:eastAsia="仿宋_GB2312" w:cs="仿宋_GB2312"/>
          <w:kern w:val="0"/>
          <w:sz w:val="32"/>
          <w:szCs w:val="32"/>
          <w:highlight w:val="none"/>
          <w:lang w:val="en-US" w:eastAsia="zh-CN"/>
        </w:rPr>
        <w:t>减少2017年-2018年“一站式”结算财政兜底资金，减少第3批城乡特困群众大病医疗救助金，减少城乡居民医保财政补助金，以及本年度在职、聘用人员增资，聘用人员民族团结奖、政府效能奖</w:t>
      </w:r>
      <w:r>
        <w:rPr>
          <w:rFonts w:hint="eastAsia" w:ascii="仿宋_GB2312" w:hAnsi="仿宋_GB2312" w:eastAsia="仿宋_GB2312" w:cs="仿宋_GB2312"/>
          <w:kern w:val="0"/>
          <w:sz w:val="32"/>
          <w:szCs w:val="32"/>
          <w:highlight w:val="none"/>
        </w:rPr>
        <w:t>。</w:t>
      </w:r>
    </w:p>
    <w:p>
      <w:pPr>
        <w:spacing w:line="540" w:lineRule="exact"/>
        <w:outlineLvl w:val="1"/>
        <w:rPr>
          <w:rFonts w:ascii="Times New Roman" w:hAnsi="Times New Roman" w:eastAsia="黑体"/>
          <w:kern w:val="0"/>
          <w:sz w:val="32"/>
          <w:szCs w:val="32"/>
        </w:rPr>
      </w:pPr>
      <w:r>
        <w:rPr>
          <w:rFonts w:ascii="Times New Roman" w:hAnsi="Times New Roman" w:eastAsia="楷体_GB2312"/>
          <w:b/>
          <w:bCs/>
          <w:kern w:val="0"/>
          <w:sz w:val="32"/>
          <w:szCs w:val="32"/>
        </w:rPr>
        <w:t xml:space="preserve">    </w:t>
      </w:r>
      <w:r>
        <w:rPr>
          <w:rFonts w:ascii="Times New Roman" w:hAnsi="Times New Roman" w:eastAsia="黑体"/>
          <w:kern w:val="0"/>
          <w:sz w:val="32"/>
          <w:szCs w:val="32"/>
        </w:rPr>
        <w:t>五、一般公共预算财政拨款支出决算情况说明</w:t>
      </w:r>
    </w:p>
    <w:p>
      <w:pPr>
        <w:numPr>
          <w:ilvl w:val="0"/>
          <w:numId w:val="1"/>
        </w:numPr>
        <w:spacing w:line="540" w:lineRule="exact"/>
        <w:ind w:firstLine="640" w:firstLineChars="20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一般公共预算财政拨款支出决算总体情况</w:t>
      </w:r>
    </w:p>
    <w:p>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2020年度一般公共预算财政拨款支出</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285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000.65</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91.61</w:t>
      </w:r>
      <w:r>
        <w:rPr>
          <w:rFonts w:hint="eastAsia" w:ascii="仿宋_GB2312" w:hAnsi="仿宋_GB2312" w:eastAsia="仿宋_GB2312" w:cs="仿宋_GB2312"/>
          <w:kern w:val="0"/>
          <w:sz w:val="32"/>
          <w:szCs w:val="32"/>
        </w:rPr>
        <w:t>%。与上年相比，一般公共预算财政拨款支出减少</w:t>
      </w:r>
      <w:r>
        <w:rPr>
          <w:rFonts w:hint="eastAsia" w:ascii="仿宋_GB2312" w:hAnsi="仿宋_GB2312" w:eastAsia="仿宋_GB2312" w:cs="仿宋_GB2312"/>
          <w:kern w:val="0"/>
          <w:sz w:val="32"/>
          <w:szCs w:val="32"/>
          <w:u w:val="single"/>
          <w:lang w:val="en-US" w:eastAsia="zh-CN"/>
        </w:rPr>
        <w:t>6</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256</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828.37</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54.21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color w:val="auto"/>
          <w:kern w:val="0"/>
          <w:sz w:val="32"/>
          <w:szCs w:val="32"/>
          <w:highlight w:val="none"/>
          <w:lang w:val="en-US" w:eastAsia="zh-CN"/>
        </w:rPr>
        <w:t>2020年</w:t>
      </w:r>
      <w:r>
        <w:rPr>
          <w:rFonts w:hint="eastAsia" w:ascii="仿宋_GB2312" w:hAnsi="仿宋_GB2312" w:eastAsia="仿宋_GB2312" w:cs="仿宋_GB2312"/>
          <w:color w:val="auto"/>
          <w:kern w:val="0"/>
          <w:sz w:val="32"/>
          <w:szCs w:val="32"/>
          <w:highlight w:val="none"/>
          <w:lang w:eastAsia="zh-CN"/>
        </w:rPr>
        <w:t>居民医疗救助金由银川市统筹管理，不再从基本户上支出，</w:t>
      </w:r>
      <w:r>
        <w:rPr>
          <w:rFonts w:hint="eastAsia" w:ascii="仿宋_GB2312" w:hAnsi="仿宋_GB2312" w:eastAsia="仿宋_GB2312" w:cs="仿宋_GB2312"/>
          <w:kern w:val="0"/>
          <w:sz w:val="32"/>
          <w:szCs w:val="32"/>
          <w:highlight w:val="none"/>
          <w:lang w:val="en-US" w:eastAsia="zh-CN"/>
        </w:rPr>
        <w:t>减少2017年-2018年“一站式”结算财政兜底资金，减少第3批城乡特困群众大病医疗救助金，减少城乡居民医保财政补助金</w:t>
      </w:r>
      <w:r>
        <w:rPr>
          <w:rFonts w:hint="eastAsia" w:ascii="仿宋_GB2312" w:hAnsi="仿宋_GB2312" w:eastAsia="仿宋_GB2312" w:cs="仿宋_GB2312"/>
          <w:kern w:val="0"/>
          <w:sz w:val="32"/>
          <w:szCs w:val="32"/>
        </w:rPr>
        <w:t>。</w:t>
      </w:r>
    </w:p>
    <w:p>
      <w:pPr>
        <w:numPr>
          <w:ilvl w:val="0"/>
          <w:numId w:val="1"/>
        </w:numPr>
        <w:spacing w:line="540" w:lineRule="exact"/>
        <w:ind w:firstLine="640" w:firstLineChars="20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一般公共预算财政拨款支出决算结构情况</w:t>
      </w:r>
    </w:p>
    <w:p>
      <w:p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2020年度一般公共预算财政拨款支出</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285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000.65</w:t>
      </w:r>
      <w:r>
        <w:rPr>
          <w:rFonts w:hint="eastAsia" w:ascii="仿宋_GB2312" w:hAnsi="仿宋_GB2312" w:eastAsia="仿宋_GB2312" w:cs="仿宋_GB2312"/>
          <w:kern w:val="0"/>
          <w:sz w:val="32"/>
          <w:szCs w:val="32"/>
        </w:rPr>
        <w:t>元，主要用于以下方面：社会保障和就业支出</w:t>
      </w:r>
      <w:r>
        <w:rPr>
          <w:rFonts w:hint="eastAsia" w:ascii="仿宋_GB2312" w:hAnsi="仿宋_GB2312" w:eastAsia="仿宋_GB2312" w:cs="仿宋_GB2312"/>
          <w:kern w:val="0"/>
          <w:sz w:val="32"/>
          <w:szCs w:val="32"/>
          <w:u w:val="single"/>
          <w:lang w:val="en-US" w:eastAsia="zh-CN"/>
        </w:rPr>
        <w:t>124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718.46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2.36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卫生健康</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084</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221.44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96.2</w:t>
      </w:r>
      <w:r>
        <w:rPr>
          <w:rFonts w:hint="eastAsia" w:ascii="仿宋_GB2312" w:hAnsi="仿宋_GB2312" w:eastAsia="仿宋_GB2312" w:cs="仿宋_GB2312"/>
          <w:kern w:val="0"/>
          <w:sz w:val="32"/>
          <w:szCs w:val="32"/>
        </w:rPr>
        <w:t>%；住房保障支出</w:t>
      </w:r>
      <w:r>
        <w:rPr>
          <w:rFonts w:hint="eastAsia" w:ascii="仿宋_GB2312" w:hAnsi="仿宋_GB2312" w:eastAsia="仿宋_GB2312" w:cs="仿宋_GB2312"/>
          <w:kern w:val="0"/>
          <w:sz w:val="32"/>
          <w:szCs w:val="32"/>
          <w:u w:val="single"/>
          <w:lang w:val="en-US" w:eastAsia="zh-CN"/>
        </w:rPr>
        <w:t>76</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060.75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1.44</w:t>
      </w:r>
      <w:r>
        <w:rPr>
          <w:rFonts w:hint="eastAsia" w:ascii="仿宋_GB2312" w:hAnsi="仿宋_GB2312" w:eastAsia="仿宋_GB2312" w:cs="仿宋_GB2312"/>
          <w:kern w:val="0"/>
          <w:sz w:val="32"/>
          <w:szCs w:val="32"/>
        </w:rPr>
        <w:t>%。</w:t>
      </w:r>
    </w:p>
    <w:p>
      <w:pPr>
        <w:spacing w:line="540" w:lineRule="exact"/>
        <w:ind w:firstLine="611" w:firstLineChars="191"/>
        <w:rPr>
          <w:rFonts w:ascii="Times New Roman" w:hAnsi="Times New Roman" w:eastAsia="仿宋_GB2312"/>
          <w:b/>
          <w:kern w:val="0"/>
          <w:sz w:val="32"/>
          <w:szCs w:val="32"/>
        </w:rPr>
      </w:pPr>
      <w:r>
        <w:rPr>
          <w:rFonts w:hint="eastAsia" w:ascii="楷体_GB2312" w:hAnsi="楷体_GB2312" w:eastAsia="楷体_GB2312" w:cs="楷体_GB2312"/>
          <w:b w:val="0"/>
          <w:bCs/>
          <w:kern w:val="0"/>
          <w:sz w:val="32"/>
          <w:szCs w:val="32"/>
        </w:rPr>
        <w:t>（三）一般公共预算财政拨款支出决算具体情况。</w:t>
      </w:r>
    </w:p>
    <w:p>
      <w:pPr>
        <w:spacing w:line="540" w:lineRule="exact"/>
        <w:ind w:firstLine="611" w:firstLineChars="191"/>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2020年度一般公共预算财政拨款支出年初预算</w:t>
      </w:r>
      <w:r>
        <w:rPr>
          <w:rFonts w:hint="eastAsia" w:ascii="仿宋_GB2312" w:hAnsi="仿宋_GB2312" w:eastAsia="仿宋_GB2312" w:cs="仿宋_GB2312"/>
          <w:kern w:val="0"/>
          <w:sz w:val="32"/>
          <w:szCs w:val="32"/>
          <w:u w:val="single"/>
          <w:lang w:val="en-US" w:eastAsia="zh-CN"/>
        </w:rPr>
        <w:t>7</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287</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592.21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none"/>
          <w:lang w:val="en-US" w:eastAsia="zh-CN"/>
        </w:rPr>
        <w:t>年底</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u w:val="single"/>
          <w:lang w:val="en-US" w:eastAsia="zh-CN"/>
        </w:rPr>
        <w:t>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285</w:t>
      </w:r>
      <w:r>
        <w:rPr>
          <w:rFonts w:hint="eastAsia" w:ascii="微软雅黑" w:hAnsi="微软雅黑" w:eastAsia="微软雅黑" w:cs="微软雅黑"/>
          <w:kern w:val="0"/>
          <w:sz w:val="32"/>
          <w:szCs w:val="32"/>
          <w:u w:val="single"/>
          <w:lang w:val="en-US" w:eastAsia="zh-CN"/>
        </w:rPr>
        <w:t>,</w:t>
      </w:r>
      <w:r>
        <w:rPr>
          <w:rFonts w:hint="eastAsia" w:ascii="仿宋_GB2312" w:hAnsi="仿宋_GB2312" w:eastAsia="仿宋_GB2312" w:cs="仿宋_GB2312"/>
          <w:kern w:val="0"/>
          <w:sz w:val="32"/>
          <w:szCs w:val="32"/>
          <w:u w:val="single"/>
          <w:lang w:val="en-US" w:eastAsia="zh-CN"/>
        </w:rPr>
        <w:t>000.65</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72.52</w:t>
      </w:r>
      <w:r>
        <w:rPr>
          <w:rFonts w:hint="eastAsia" w:ascii="仿宋_GB2312" w:hAnsi="仿宋_GB2312" w:eastAsia="仿宋_GB2312" w:cs="仿宋_GB2312"/>
          <w:kern w:val="0"/>
          <w:sz w:val="32"/>
          <w:szCs w:val="32"/>
        </w:rPr>
        <w:t>%，其中：</w:t>
      </w:r>
    </w:p>
    <w:p>
      <w:pPr>
        <w:numPr>
          <w:ilvl w:val="0"/>
          <w:numId w:val="2"/>
        </w:numPr>
        <w:spacing w:line="540" w:lineRule="exact"/>
        <w:ind w:firstLine="614"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卫生健康支出</w:t>
      </w:r>
      <w:r>
        <w:rPr>
          <w:rFonts w:hint="eastAsia" w:ascii="仿宋_GB2312" w:hAnsi="仿宋_GB2312" w:eastAsia="仿宋_GB2312" w:cs="仿宋_GB2312"/>
          <w:b/>
          <w:bCs/>
          <w:kern w:val="0"/>
          <w:sz w:val="32"/>
          <w:szCs w:val="32"/>
        </w:rPr>
        <w:t>（类）</w:t>
      </w:r>
      <w:r>
        <w:rPr>
          <w:rFonts w:hint="eastAsia" w:ascii="仿宋_GB2312" w:hAnsi="仿宋_GB2312" w:eastAsia="仿宋_GB2312" w:cs="仿宋_GB2312"/>
          <w:b/>
          <w:bCs/>
          <w:kern w:val="0"/>
          <w:sz w:val="32"/>
          <w:szCs w:val="32"/>
          <w:lang w:val="en-US" w:eastAsia="zh-CN"/>
        </w:rPr>
        <w:t>医疗保障管理事务</w:t>
      </w:r>
      <w:r>
        <w:rPr>
          <w:rFonts w:hint="eastAsia" w:ascii="仿宋_GB2312" w:hAnsi="仿宋_GB2312" w:eastAsia="仿宋_GB2312" w:cs="仿宋_GB2312"/>
          <w:b/>
          <w:bCs/>
          <w:kern w:val="0"/>
          <w:sz w:val="32"/>
          <w:szCs w:val="32"/>
        </w:rPr>
        <w:t>（款）</w:t>
      </w:r>
      <w:r>
        <w:rPr>
          <w:rFonts w:hint="eastAsia" w:ascii="仿宋_GB2312" w:hAnsi="仿宋_GB2312" w:eastAsia="仿宋_GB2312" w:cs="仿宋_GB2312"/>
          <w:b/>
          <w:bCs/>
          <w:kern w:val="0"/>
          <w:sz w:val="32"/>
          <w:szCs w:val="32"/>
          <w:lang w:val="en-US" w:eastAsia="zh-CN"/>
        </w:rPr>
        <w:t>行政运行</w:t>
      </w:r>
      <w:r>
        <w:rPr>
          <w:rFonts w:hint="eastAsia" w:ascii="仿宋_GB2312" w:hAnsi="仿宋_GB2312" w:eastAsia="仿宋_GB2312" w:cs="仿宋_GB2312"/>
          <w:b/>
          <w:bCs/>
          <w:kern w:val="0"/>
          <w:sz w:val="32"/>
          <w:szCs w:val="32"/>
        </w:rPr>
        <w:t>（项）。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b w:val="0"/>
          <w:bCs w:val="0"/>
          <w:kern w:val="0"/>
          <w:sz w:val="32"/>
          <w:szCs w:val="32"/>
          <w:u w:val="single"/>
          <w:lang w:val="en-US" w:eastAsia="zh-CN"/>
        </w:rPr>
        <w:t>7</w:t>
      </w:r>
      <w:r>
        <w:rPr>
          <w:rFonts w:hint="eastAsia" w:ascii="微软雅黑" w:hAnsi="微软雅黑" w:eastAsia="微软雅黑" w:cs="微软雅黑"/>
          <w:b w:val="0"/>
          <w:bCs w:val="0"/>
          <w:kern w:val="0"/>
          <w:sz w:val="32"/>
          <w:szCs w:val="32"/>
          <w:u w:val="single"/>
          <w:lang w:val="en-US" w:eastAsia="zh-CN"/>
        </w:rPr>
        <w:t>,</w:t>
      </w:r>
      <w:r>
        <w:rPr>
          <w:rFonts w:hint="eastAsia" w:ascii="仿宋_GB2312" w:hAnsi="仿宋_GB2312" w:eastAsia="仿宋_GB2312" w:cs="仿宋_GB2312"/>
          <w:b w:val="0"/>
          <w:bCs w:val="0"/>
          <w:kern w:val="0"/>
          <w:sz w:val="32"/>
          <w:szCs w:val="32"/>
          <w:u w:val="single"/>
          <w:lang w:val="en-US" w:eastAsia="zh-CN"/>
        </w:rPr>
        <w:t>049</w:t>
      </w:r>
      <w:r>
        <w:rPr>
          <w:rFonts w:hint="eastAsia" w:ascii="微软雅黑" w:hAnsi="微软雅黑" w:eastAsia="微软雅黑" w:cs="微软雅黑"/>
          <w:b w:val="0"/>
          <w:bCs w:val="0"/>
          <w:kern w:val="0"/>
          <w:sz w:val="32"/>
          <w:szCs w:val="32"/>
          <w:u w:val="single"/>
          <w:lang w:val="en-US" w:eastAsia="zh-CN"/>
        </w:rPr>
        <w:t>,</w:t>
      </w:r>
      <w:r>
        <w:rPr>
          <w:rFonts w:hint="eastAsia" w:ascii="仿宋_GB2312" w:hAnsi="仿宋_GB2312" w:eastAsia="仿宋_GB2312" w:cs="仿宋_GB2312"/>
          <w:b w:val="0"/>
          <w:bCs w:val="0"/>
          <w:kern w:val="0"/>
          <w:sz w:val="32"/>
          <w:szCs w:val="32"/>
          <w:u w:val="single"/>
          <w:lang w:val="en-US" w:eastAsia="zh-CN"/>
        </w:rPr>
        <w:t>444</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3</w:t>
      </w:r>
      <w:r>
        <w:rPr>
          <w:rFonts w:hint="eastAsia" w:ascii="微软雅黑" w:hAnsi="微软雅黑" w:eastAsia="微软雅黑" w:cs="微软雅黑"/>
          <w:b w:val="0"/>
          <w:bCs w:val="0"/>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774</w:t>
      </w:r>
      <w:r>
        <w:rPr>
          <w:rFonts w:hint="eastAsia" w:ascii="微软雅黑" w:hAnsi="微软雅黑" w:eastAsia="微软雅黑" w:cs="微软雅黑"/>
          <w:b w:val="0"/>
          <w:bCs w:val="0"/>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186.76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53.54</w:t>
      </w:r>
      <w:r>
        <w:rPr>
          <w:rFonts w:hint="eastAsia" w:ascii="仿宋_GB2312" w:hAnsi="仿宋_GB2312" w:eastAsia="仿宋_GB2312" w:cs="仿宋_GB2312"/>
          <w:kern w:val="0"/>
          <w:sz w:val="32"/>
          <w:szCs w:val="32"/>
        </w:rPr>
        <w:t>%，决算数小于预算数的主要原因</w:t>
      </w:r>
      <w:r>
        <w:rPr>
          <w:rFonts w:hint="eastAsia" w:ascii="仿宋_GB2312" w:hAnsi="仿宋_GB2312" w:eastAsia="仿宋_GB2312" w:cs="仿宋_GB2312"/>
          <w:kern w:val="0"/>
          <w:sz w:val="32"/>
          <w:szCs w:val="32"/>
          <w:highlight w:val="none"/>
        </w:rPr>
        <w:t>是</w:t>
      </w:r>
      <w:r>
        <w:rPr>
          <w:rFonts w:hint="eastAsia" w:ascii="仿宋_GB2312" w:hAnsi="仿宋_GB2312" w:eastAsia="仿宋_GB2312" w:cs="仿宋_GB2312"/>
          <w:color w:val="auto"/>
          <w:kern w:val="0"/>
          <w:sz w:val="32"/>
          <w:szCs w:val="32"/>
          <w:highlight w:val="none"/>
          <w:lang w:val="en-US" w:eastAsia="zh-CN"/>
        </w:rPr>
        <w:t>2020年</w:t>
      </w:r>
      <w:r>
        <w:rPr>
          <w:rFonts w:hint="eastAsia" w:ascii="仿宋_GB2312" w:hAnsi="仿宋_GB2312" w:eastAsia="仿宋_GB2312" w:cs="仿宋_GB2312"/>
          <w:color w:val="auto"/>
          <w:kern w:val="0"/>
          <w:sz w:val="32"/>
          <w:szCs w:val="32"/>
          <w:highlight w:val="none"/>
          <w:lang w:eastAsia="zh-CN"/>
        </w:rPr>
        <w:t>居民医疗救助金由银川市统筹管理，不再从基本户上支出</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社会保障和就业支出</w:t>
      </w:r>
      <w:r>
        <w:rPr>
          <w:rFonts w:hint="eastAsia" w:ascii="仿宋_GB2312" w:hAnsi="仿宋_GB2312" w:eastAsia="仿宋_GB2312" w:cs="仿宋_GB2312"/>
          <w:b/>
          <w:bCs/>
          <w:kern w:val="0"/>
          <w:sz w:val="32"/>
          <w:szCs w:val="32"/>
        </w:rPr>
        <w:t>（类）</w:t>
      </w:r>
      <w:r>
        <w:rPr>
          <w:rFonts w:hint="eastAsia" w:ascii="仿宋_GB2312" w:hAnsi="仿宋_GB2312" w:eastAsia="仿宋_GB2312" w:cs="仿宋_GB2312"/>
          <w:b/>
          <w:bCs/>
          <w:kern w:val="0"/>
          <w:sz w:val="32"/>
          <w:szCs w:val="32"/>
          <w:lang w:val="en-US" w:eastAsia="zh-CN"/>
        </w:rPr>
        <w:t>就业补助</w:t>
      </w:r>
      <w:r>
        <w:rPr>
          <w:rFonts w:hint="eastAsia" w:ascii="仿宋_GB2312" w:hAnsi="仿宋_GB2312" w:eastAsia="仿宋_GB2312" w:cs="仿宋_GB2312"/>
          <w:b/>
          <w:bCs/>
          <w:kern w:val="0"/>
          <w:sz w:val="32"/>
          <w:szCs w:val="32"/>
        </w:rPr>
        <w:t>（款）</w:t>
      </w:r>
      <w:r>
        <w:rPr>
          <w:rFonts w:hint="eastAsia" w:ascii="仿宋_GB2312" w:hAnsi="仿宋_GB2312" w:eastAsia="仿宋_GB2312" w:cs="仿宋_GB2312"/>
          <w:b/>
          <w:bCs/>
          <w:kern w:val="0"/>
          <w:sz w:val="32"/>
          <w:szCs w:val="32"/>
          <w:lang w:val="en-US" w:eastAsia="zh-CN"/>
        </w:rPr>
        <w:t>公益性岗位补贴</w:t>
      </w:r>
      <w:r>
        <w:rPr>
          <w:rFonts w:hint="eastAsia" w:ascii="仿宋_GB2312" w:hAnsi="仿宋_GB2312" w:eastAsia="仿宋_GB2312" w:cs="仿宋_GB2312"/>
          <w:b/>
          <w:bCs/>
          <w:kern w:val="0"/>
          <w:sz w:val="32"/>
          <w:szCs w:val="32"/>
        </w:rPr>
        <w:t>（项）。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b w:val="0"/>
          <w:bCs w:val="0"/>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15</w:t>
      </w:r>
      <w:r>
        <w:rPr>
          <w:rFonts w:hint="eastAsia" w:ascii="微软雅黑" w:hAnsi="微软雅黑" w:eastAsia="微软雅黑" w:cs="微软雅黑"/>
          <w:b w:val="0"/>
          <w:bCs w:val="0"/>
          <w:color w:val="auto"/>
          <w:kern w:val="0"/>
          <w:sz w:val="32"/>
          <w:szCs w:val="32"/>
          <w:u w:val="single"/>
          <w:lang w:val="en-US" w:eastAsia="zh-CN"/>
        </w:rPr>
        <w:t>,</w:t>
      </w:r>
      <w:r>
        <w:rPr>
          <w:rFonts w:hint="eastAsia" w:ascii="仿宋_GB2312" w:hAnsi="仿宋_GB2312" w:eastAsia="仿宋_GB2312" w:cs="仿宋_GB2312"/>
          <w:color w:val="auto"/>
          <w:kern w:val="0"/>
          <w:sz w:val="32"/>
          <w:szCs w:val="32"/>
          <w:u w:val="single"/>
          <w:lang w:val="en-US" w:eastAsia="zh-CN"/>
        </w:rPr>
        <w:t>959.41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大</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highlight w:val="none"/>
        </w:rPr>
        <w:t>是</w:t>
      </w:r>
      <w:r>
        <w:rPr>
          <w:rFonts w:hint="eastAsia" w:ascii="仿宋_GB2312" w:hAnsi="仿宋_GB2312" w:eastAsia="仿宋_GB2312" w:cs="仿宋_GB2312"/>
          <w:color w:val="auto"/>
          <w:kern w:val="0"/>
          <w:sz w:val="32"/>
          <w:szCs w:val="32"/>
          <w:highlight w:val="none"/>
          <w:lang w:val="en-US" w:eastAsia="zh-CN"/>
        </w:rPr>
        <w:t>2020年新增公益性岗位社会保障支出</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住房保障支出</w:t>
      </w:r>
      <w:r>
        <w:rPr>
          <w:rFonts w:hint="eastAsia" w:ascii="仿宋_GB2312" w:hAnsi="仿宋_GB2312" w:eastAsia="仿宋_GB2312" w:cs="仿宋_GB2312"/>
          <w:b/>
          <w:bCs/>
          <w:kern w:val="0"/>
          <w:sz w:val="32"/>
          <w:szCs w:val="32"/>
        </w:rPr>
        <w:t>（类）</w:t>
      </w:r>
      <w:r>
        <w:rPr>
          <w:rFonts w:hint="eastAsia" w:ascii="仿宋_GB2312" w:hAnsi="仿宋_GB2312" w:eastAsia="仿宋_GB2312" w:cs="仿宋_GB2312"/>
          <w:b/>
          <w:bCs/>
          <w:kern w:val="0"/>
          <w:sz w:val="32"/>
          <w:szCs w:val="32"/>
          <w:lang w:val="en-US" w:eastAsia="zh-CN"/>
        </w:rPr>
        <w:t>住房改革支出</w:t>
      </w:r>
      <w:r>
        <w:rPr>
          <w:rFonts w:hint="eastAsia" w:ascii="仿宋_GB2312" w:hAnsi="仿宋_GB2312" w:eastAsia="仿宋_GB2312" w:cs="仿宋_GB2312"/>
          <w:b/>
          <w:bCs/>
          <w:kern w:val="0"/>
          <w:sz w:val="32"/>
          <w:szCs w:val="32"/>
        </w:rPr>
        <w:t>（款）</w:t>
      </w:r>
      <w:r>
        <w:rPr>
          <w:rFonts w:hint="eastAsia" w:ascii="仿宋_GB2312" w:hAnsi="仿宋_GB2312" w:eastAsia="仿宋_GB2312" w:cs="仿宋_GB2312"/>
          <w:b/>
          <w:bCs/>
          <w:kern w:val="0"/>
          <w:sz w:val="32"/>
          <w:szCs w:val="32"/>
          <w:lang w:val="en-US" w:eastAsia="zh-CN"/>
        </w:rPr>
        <w:t>住房公积金</w:t>
      </w:r>
      <w:r>
        <w:rPr>
          <w:rFonts w:hint="eastAsia" w:ascii="仿宋_GB2312" w:hAnsi="仿宋_GB2312" w:eastAsia="仿宋_GB2312" w:cs="仿宋_GB2312"/>
          <w:b/>
          <w:bCs/>
          <w:kern w:val="0"/>
          <w:sz w:val="32"/>
          <w:szCs w:val="32"/>
        </w:rPr>
        <w:t>（项）。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b w:val="0"/>
          <w:bCs w:val="0"/>
          <w:kern w:val="0"/>
          <w:sz w:val="32"/>
          <w:szCs w:val="32"/>
          <w:u w:val="single"/>
          <w:lang w:val="en-US" w:eastAsia="zh-CN"/>
        </w:rPr>
        <w:t>63425.4</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color w:val="auto"/>
          <w:kern w:val="0"/>
          <w:sz w:val="32"/>
          <w:szCs w:val="32"/>
          <w:u w:val="single"/>
          <w:lang w:val="en-US" w:eastAsia="zh-CN"/>
        </w:rPr>
        <w:t>76060.75</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119.92</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大于</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highlight w:val="none"/>
        </w:rPr>
        <w:t>是</w:t>
      </w:r>
      <w:r>
        <w:rPr>
          <w:rFonts w:hint="eastAsia" w:ascii="仿宋_GB2312" w:hAnsi="仿宋_GB2312" w:eastAsia="仿宋_GB2312" w:cs="仿宋_GB2312"/>
          <w:color w:val="auto"/>
          <w:kern w:val="0"/>
          <w:sz w:val="32"/>
          <w:szCs w:val="32"/>
          <w:highlight w:val="none"/>
          <w:lang w:val="en-US" w:eastAsia="zh-CN"/>
        </w:rPr>
        <w:t>2020年住房公积金基数调整增加</w:t>
      </w:r>
      <w:r>
        <w:rPr>
          <w:rFonts w:hint="eastAsia" w:ascii="仿宋_GB2312" w:hAnsi="仿宋_GB2312" w:eastAsia="仿宋_GB2312" w:cs="仿宋_GB2312"/>
          <w:kern w:val="0"/>
          <w:sz w:val="32"/>
          <w:szCs w:val="32"/>
        </w:rPr>
        <w:t>。</w:t>
      </w:r>
    </w:p>
    <w:p>
      <w:pPr>
        <w:spacing w:line="540" w:lineRule="exact"/>
        <w:outlineLvl w:val="1"/>
        <w:rPr>
          <w:rFonts w:ascii="Times New Roman" w:hAnsi="Times New Roman" w:eastAsia="黑体"/>
          <w:kern w:val="0"/>
          <w:sz w:val="32"/>
          <w:szCs w:val="32"/>
        </w:rPr>
      </w:pPr>
      <w:r>
        <w:rPr>
          <w:rFonts w:ascii="Times New Roman" w:hAnsi="Times New Roman" w:eastAsia="楷体_GB2312"/>
          <w:b/>
          <w:bCs/>
          <w:kern w:val="0"/>
          <w:sz w:val="32"/>
          <w:szCs w:val="32"/>
        </w:rPr>
        <w:t xml:space="preserve"> </w:t>
      </w:r>
      <w:r>
        <w:rPr>
          <w:rFonts w:ascii="Times New Roman" w:hAnsi="Times New Roman" w:eastAsia="黑体"/>
          <w:kern w:val="0"/>
          <w:sz w:val="32"/>
          <w:szCs w:val="32"/>
        </w:rPr>
        <w:t xml:space="preserve">   六、一般公共预算财政拨款基本支出决算情况说明（按经济分类填列到款级科目）</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2020年度一般公共预算财政拨款基本支出</w:t>
      </w:r>
      <w:r>
        <w:rPr>
          <w:rFonts w:hint="eastAsia" w:ascii="仿宋_GB2312" w:hAnsi="仿宋_GB2312" w:eastAsia="仿宋_GB2312" w:cs="仿宋_GB2312"/>
          <w:sz w:val="32"/>
          <w:szCs w:val="32"/>
          <w:u w:val="single"/>
          <w:lang w:val="en-US" w:eastAsia="zh-CN"/>
        </w:rPr>
        <w:t>4</w:t>
      </w:r>
      <w:r>
        <w:rPr>
          <w:rFonts w:hint="eastAsia" w:ascii="微软雅黑" w:hAnsi="微软雅黑" w:eastAsia="微软雅黑" w:cs="微软雅黑"/>
          <w:sz w:val="32"/>
          <w:szCs w:val="32"/>
          <w:u w:val="single"/>
          <w:lang w:val="en-US" w:eastAsia="zh-CN"/>
        </w:rPr>
        <w:t>,</w:t>
      </w:r>
      <w:r>
        <w:rPr>
          <w:rFonts w:hint="eastAsia" w:ascii="仿宋_GB2312" w:hAnsi="仿宋_GB2312" w:eastAsia="仿宋_GB2312" w:cs="仿宋_GB2312"/>
          <w:sz w:val="32"/>
          <w:szCs w:val="32"/>
          <w:u w:val="single"/>
          <w:lang w:val="en-US" w:eastAsia="zh-CN"/>
        </w:rPr>
        <w:t>032</w:t>
      </w:r>
      <w:r>
        <w:rPr>
          <w:rFonts w:hint="eastAsia" w:ascii="微软雅黑" w:hAnsi="微软雅黑" w:eastAsia="微软雅黑" w:cs="微软雅黑"/>
          <w:sz w:val="32"/>
          <w:szCs w:val="32"/>
          <w:u w:val="single"/>
          <w:lang w:val="en-US" w:eastAsia="zh-CN"/>
        </w:rPr>
        <w:t>,</w:t>
      </w:r>
      <w:r>
        <w:rPr>
          <w:rFonts w:hint="eastAsia" w:ascii="仿宋_GB2312" w:hAnsi="仿宋_GB2312" w:eastAsia="仿宋_GB2312" w:cs="仿宋_GB2312"/>
          <w:sz w:val="32"/>
          <w:szCs w:val="32"/>
          <w:u w:val="single"/>
          <w:lang w:val="en-US" w:eastAsia="zh-CN"/>
        </w:rPr>
        <w:t>801.04</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u w:val="single"/>
          <w:lang w:val="en-US" w:eastAsia="zh-CN"/>
        </w:rPr>
        <w:t>3</w:t>
      </w:r>
      <w:r>
        <w:rPr>
          <w:rFonts w:hint="eastAsia" w:ascii="微软雅黑" w:hAnsi="微软雅黑" w:eastAsia="微软雅黑" w:cs="微软雅黑"/>
          <w:sz w:val="32"/>
          <w:szCs w:val="32"/>
          <w:u w:val="single"/>
          <w:lang w:val="en-US" w:eastAsia="zh-CN"/>
        </w:rPr>
        <w:t>,</w:t>
      </w:r>
      <w:r>
        <w:rPr>
          <w:rFonts w:hint="eastAsia" w:ascii="仿宋_GB2312" w:hAnsi="仿宋_GB2312" w:eastAsia="仿宋_GB2312" w:cs="仿宋_GB2312"/>
          <w:sz w:val="32"/>
          <w:szCs w:val="32"/>
          <w:u w:val="single"/>
          <w:lang w:val="en-US" w:eastAsia="zh-CN"/>
        </w:rPr>
        <w:t>644</w:t>
      </w:r>
      <w:r>
        <w:rPr>
          <w:rFonts w:hint="eastAsia" w:ascii="微软雅黑" w:hAnsi="微软雅黑" w:eastAsia="微软雅黑" w:cs="微软雅黑"/>
          <w:sz w:val="32"/>
          <w:szCs w:val="32"/>
          <w:u w:val="single"/>
          <w:lang w:val="en-US" w:eastAsia="zh-CN"/>
        </w:rPr>
        <w:t>,</w:t>
      </w:r>
      <w:r>
        <w:rPr>
          <w:rFonts w:hint="eastAsia" w:ascii="仿宋_GB2312" w:hAnsi="仿宋_GB2312" w:eastAsia="仿宋_GB2312" w:cs="仿宋_GB2312"/>
          <w:sz w:val="32"/>
          <w:szCs w:val="32"/>
          <w:u w:val="single"/>
          <w:lang w:val="en-US" w:eastAsia="zh-CN"/>
        </w:rPr>
        <w:t>276.68</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u w:val="single"/>
          <w:lang w:val="en-US" w:eastAsia="zh-CN"/>
        </w:rPr>
        <w:t>388</w:t>
      </w:r>
      <w:r>
        <w:rPr>
          <w:rFonts w:hint="eastAsia" w:ascii="微软雅黑" w:hAnsi="微软雅黑" w:eastAsia="微软雅黑" w:cs="微软雅黑"/>
          <w:sz w:val="32"/>
          <w:szCs w:val="32"/>
          <w:u w:val="single"/>
          <w:lang w:val="en-US" w:eastAsia="zh-CN"/>
        </w:rPr>
        <w:t>,</w:t>
      </w:r>
      <w:r>
        <w:rPr>
          <w:rFonts w:hint="eastAsia" w:ascii="仿宋_GB2312" w:hAnsi="仿宋_GB2312" w:eastAsia="仿宋_GB2312" w:cs="仿宋_GB2312"/>
          <w:sz w:val="32"/>
          <w:szCs w:val="32"/>
          <w:u w:val="single"/>
          <w:lang w:val="en-US" w:eastAsia="zh-CN"/>
        </w:rPr>
        <w:t>524.36</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 xml:space="preserve">支出具体情况如下： </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1.工资福利支出</w:t>
      </w:r>
      <w:r>
        <w:rPr>
          <w:rFonts w:hint="eastAsia" w:ascii="仿宋_GB2312" w:hAnsi="仿宋_GB2312" w:eastAsia="仿宋_GB2312" w:cs="仿宋_GB2312"/>
          <w:color w:val="auto"/>
          <w:sz w:val="32"/>
          <w:szCs w:val="32"/>
          <w:u w:val="single"/>
          <w:lang w:val="en-US" w:eastAsia="zh-CN"/>
        </w:rPr>
        <w:t>3</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631</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488.28</w:t>
      </w:r>
      <w:r>
        <w:rPr>
          <w:rFonts w:hint="eastAsia" w:ascii="仿宋_GB2312" w:hAnsi="仿宋_GB2312" w:eastAsia="仿宋_GB2312" w:cs="仿宋_GB2312"/>
          <w:color w:val="auto"/>
          <w:sz w:val="32"/>
          <w:szCs w:val="32"/>
        </w:rPr>
        <w:t>元，较年初预算数增加</w:t>
      </w:r>
      <w:r>
        <w:rPr>
          <w:rFonts w:hint="eastAsia" w:ascii="仿宋_GB2312" w:hAnsi="仿宋_GB2312" w:eastAsia="仿宋_GB2312" w:cs="仿宋_GB2312"/>
          <w:color w:val="auto"/>
          <w:sz w:val="32"/>
          <w:szCs w:val="32"/>
          <w:u w:val="single"/>
          <w:lang w:val="en-US" w:eastAsia="zh-CN"/>
        </w:rPr>
        <w:t>2</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787</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276.07</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330.16</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val="en-US" w:eastAsia="zh-CN"/>
        </w:rPr>
        <w:t>是其他社会保障支出增加，新增</w:t>
      </w:r>
      <w:r>
        <w:rPr>
          <w:rFonts w:hint="eastAsia" w:ascii="仿宋_GB2312" w:hAnsi="仿宋_GB2312" w:eastAsia="仿宋_GB2312" w:cs="仿宋_GB2312"/>
          <w:color w:val="auto"/>
          <w:kern w:val="0"/>
          <w:sz w:val="32"/>
          <w:szCs w:val="32"/>
          <w:lang w:val="en-US" w:eastAsia="zh-CN"/>
        </w:rPr>
        <w:t>8月</w:t>
      </w:r>
      <w:r>
        <w:rPr>
          <w:rFonts w:hint="eastAsia" w:ascii="仿宋_GB2312" w:hAnsi="仿宋_GB2312" w:eastAsia="仿宋_GB2312" w:cs="仿宋_GB2312"/>
          <w:color w:val="auto"/>
          <w:kern w:val="0"/>
          <w:sz w:val="32"/>
          <w:szCs w:val="32"/>
          <w:lang w:eastAsia="zh-CN"/>
        </w:rPr>
        <w:t>医保经办中心</w:t>
      </w:r>
      <w:r>
        <w:rPr>
          <w:rFonts w:hint="eastAsia" w:ascii="仿宋_GB2312" w:hAnsi="仿宋_GB2312" w:eastAsia="仿宋_GB2312" w:cs="仿宋_GB2312"/>
          <w:color w:val="auto"/>
          <w:kern w:val="0"/>
          <w:sz w:val="32"/>
          <w:szCs w:val="32"/>
          <w:lang w:val="en-US" w:eastAsia="zh-CN"/>
        </w:rPr>
        <w:t>4名事业编制人员工资，社保相应的增加，</w:t>
      </w:r>
      <w:r>
        <w:rPr>
          <w:rFonts w:hint="eastAsia" w:ascii="仿宋_GB2312" w:hAnsi="仿宋_GB2312" w:eastAsia="仿宋_GB2312" w:cs="仿宋_GB2312"/>
          <w:color w:val="auto"/>
          <w:sz w:val="32"/>
          <w:szCs w:val="32"/>
          <w:lang w:val="en-US" w:eastAsia="zh-CN"/>
        </w:rPr>
        <w:t>长聘人员支出</w:t>
      </w:r>
      <w:r>
        <w:rPr>
          <w:rFonts w:hint="eastAsia" w:ascii="仿宋_GB2312" w:hAnsi="仿宋_GB2312" w:eastAsia="仿宋_GB2312" w:cs="仿宋_GB2312"/>
          <w:color w:val="auto"/>
          <w:sz w:val="32"/>
          <w:szCs w:val="32"/>
        </w:rPr>
        <w:t>；较上年决算数增加</w:t>
      </w:r>
      <w:r>
        <w:rPr>
          <w:rFonts w:hint="eastAsia" w:ascii="仿宋_GB2312" w:hAnsi="仿宋_GB2312" w:eastAsia="仿宋_GB2312" w:cs="仿宋_GB2312"/>
          <w:color w:val="auto"/>
          <w:sz w:val="32"/>
          <w:szCs w:val="32"/>
          <w:u w:val="single"/>
          <w:lang w:val="en-US" w:eastAsia="zh-CN"/>
        </w:rPr>
        <w:t>3</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244</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750.11</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390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8月</w:t>
      </w:r>
      <w:r>
        <w:rPr>
          <w:rFonts w:hint="eastAsia" w:ascii="仿宋_GB2312" w:hAnsi="仿宋_GB2312" w:eastAsia="仿宋_GB2312" w:cs="仿宋_GB2312"/>
          <w:color w:val="auto"/>
          <w:kern w:val="0"/>
          <w:sz w:val="32"/>
          <w:szCs w:val="32"/>
          <w:lang w:eastAsia="zh-CN"/>
        </w:rPr>
        <w:t>医保经办中心</w:t>
      </w:r>
      <w:r>
        <w:rPr>
          <w:rFonts w:hint="eastAsia" w:ascii="仿宋_GB2312" w:hAnsi="仿宋_GB2312" w:eastAsia="仿宋_GB2312" w:cs="仿宋_GB2312"/>
          <w:color w:val="auto"/>
          <w:kern w:val="0"/>
          <w:sz w:val="32"/>
          <w:szCs w:val="32"/>
          <w:lang w:val="en-US" w:eastAsia="zh-CN"/>
        </w:rPr>
        <w:t>4名事业编制人员工资，社保相应的增加</w:t>
      </w:r>
      <w:r>
        <w:rPr>
          <w:rFonts w:hint="eastAsia" w:ascii="仿宋_GB2312" w:hAnsi="仿宋_GB2312" w:eastAsia="仿宋_GB2312" w:cs="仿宋_GB2312"/>
          <w:color w:val="auto"/>
          <w:sz w:val="32"/>
          <w:szCs w:val="32"/>
        </w:rPr>
        <w:t>。</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2.商品和服务支出</w:t>
      </w:r>
      <w:r>
        <w:rPr>
          <w:rFonts w:hint="eastAsia" w:ascii="仿宋_GB2312" w:hAnsi="仿宋_GB2312" w:eastAsia="仿宋_GB2312" w:cs="仿宋_GB2312"/>
          <w:sz w:val="32"/>
          <w:szCs w:val="32"/>
          <w:u w:val="single"/>
          <w:lang w:val="en-US" w:eastAsia="zh-CN"/>
        </w:rPr>
        <w:t>289</w:t>
      </w:r>
      <w:r>
        <w:rPr>
          <w:rFonts w:hint="eastAsia" w:ascii="微软雅黑" w:hAnsi="微软雅黑" w:eastAsia="微软雅黑" w:cs="微软雅黑"/>
          <w:sz w:val="32"/>
          <w:szCs w:val="32"/>
          <w:u w:val="single"/>
          <w:lang w:val="en-US" w:eastAsia="zh-CN"/>
        </w:rPr>
        <w:t>,</w:t>
      </w:r>
      <w:r>
        <w:rPr>
          <w:rFonts w:hint="eastAsia" w:ascii="仿宋_GB2312" w:hAnsi="仿宋_GB2312" w:eastAsia="仿宋_GB2312" w:cs="仿宋_GB2312"/>
          <w:sz w:val="32"/>
          <w:szCs w:val="32"/>
          <w:u w:val="single"/>
          <w:lang w:val="en-US" w:eastAsia="zh-CN"/>
        </w:rPr>
        <w:t>354.36</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u w:val="single"/>
          <w:lang w:val="en-US" w:eastAsia="zh-CN"/>
        </w:rPr>
        <w:t>221</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854.36</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328.67</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办公费增加、印刷费增加、维修（护）增加</w:t>
      </w:r>
      <w:r>
        <w:rPr>
          <w:rFonts w:hint="eastAsia" w:ascii="仿宋_GB2312" w:hAnsi="仿宋_GB2312" w:eastAsia="仿宋_GB2312" w:cs="仿宋_GB2312"/>
          <w:color w:val="auto"/>
          <w:sz w:val="32"/>
          <w:szCs w:val="32"/>
        </w:rPr>
        <w:t>；较上年决算数增加</w:t>
      </w:r>
      <w:r>
        <w:rPr>
          <w:rFonts w:hint="eastAsia" w:ascii="仿宋_GB2312" w:hAnsi="仿宋_GB2312" w:eastAsia="仿宋_GB2312" w:cs="仿宋_GB2312"/>
          <w:color w:val="auto"/>
          <w:sz w:val="32"/>
          <w:szCs w:val="32"/>
          <w:u w:val="single"/>
          <w:lang w:val="en-US" w:eastAsia="zh-CN"/>
        </w:rPr>
        <w:t>164</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321.91</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285.62</w:t>
      </w:r>
      <w:r>
        <w:rPr>
          <w:rFonts w:hint="eastAsia" w:ascii="仿宋_GB2312" w:hAnsi="仿宋_GB2312" w:eastAsia="仿宋_GB2312" w:cs="仿宋_GB2312"/>
          <w:color w:val="auto"/>
          <w:sz w:val="32"/>
          <w:szCs w:val="32"/>
        </w:rPr>
        <w:t>%。</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3.对个人和家庭的补助</w:t>
      </w:r>
      <w:r>
        <w:rPr>
          <w:rFonts w:hint="eastAsia" w:ascii="仿宋_GB2312" w:hAnsi="仿宋_GB2312" w:eastAsia="仿宋_GB2312" w:cs="仿宋_GB2312"/>
          <w:color w:val="auto"/>
          <w:sz w:val="32"/>
          <w:szCs w:val="32"/>
          <w:u w:val="single"/>
          <w:lang w:val="en-US" w:eastAsia="zh-CN"/>
        </w:rPr>
        <w:t>12</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788.4</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u w:val="single"/>
          <w:lang w:val="en-US" w:eastAsia="zh-CN"/>
        </w:rPr>
        <w:t>6908.4</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117.49</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贫困人员医疗费补助</w:t>
      </w:r>
      <w:r>
        <w:rPr>
          <w:rFonts w:hint="eastAsia" w:ascii="仿宋_GB2312" w:hAnsi="仿宋_GB2312" w:eastAsia="仿宋_GB2312" w:cs="仿宋_GB2312"/>
          <w:color w:val="auto"/>
          <w:sz w:val="32"/>
          <w:szCs w:val="32"/>
          <w:lang w:val="en-US" w:eastAsia="zh-CN"/>
        </w:rPr>
        <w:t>长聘人员支出</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；较上年决算数增加</w:t>
      </w:r>
      <w:r>
        <w:rPr>
          <w:rFonts w:hint="eastAsia" w:ascii="仿宋_GB2312" w:hAnsi="仿宋_GB2312" w:eastAsia="仿宋_GB2312" w:cs="仿宋_GB2312"/>
          <w:color w:val="auto"/>
          <w:sz w:val="32"/>
          <w:szCs w:val="32"/>
          <w:u w:val="single"/>
          <w:lang w:val="en-US" w:eastAsia="zh-CN"/>
        </w:rPr>
        <w:t>12</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788.4</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贫困人员医疗费补助</w:t>
      </w:r>
      <w:r>
        <w:rPr>
          <w:rFonts w:hint="eastAsia" w:ascii="仿宋_GB2312" w:hAnsi="仿宋_GB2312" w:eastAsia="仿宋_GB2312" w:cs="仿宋_GB2312"/>
          <w:color w:val="auto"/>
          <w:sz w:val="32"/>
          <w:szCs w:val="32"/>
        </w:rPr>
        <w:t>。</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4.资本性支出</w:t>
      </w:r>
      <w:r>
        <w:rPr>
          <w:rFonts w:hint="eastAsia" w:ascii="仿宋_GB2312" w:hAnsi="仿宋_GB2312" w:eastAsia="仿宋_GB2312" w:cs="仿宋_GB2312"/>
          <w:color w:val="auto"/>
          <w:sz w:val="32"/>
          <w:szCs w:val="32"/>
          <w:u w:val="single"/>
          <w:lang w:val="en-US" w:eastAsia="zh-CN"/>
        </w:rPr>
        <w:t>99</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170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u w:val="single"/>
          <w:lang w:val="en-US" w:eastAsia="zh-CN"/>
        </w:rPr>
        <w:t>99</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170</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100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支付上年</w:t>
      </w:r>
      <w:r>
        <w:rPr>
          <w:rFonts w:hint="eastAsia" w:ascii="仿宋_GB2312" w:hAnsi="仿宋_GB2312" w:eastAsia="仿宋_GB2312" w:cs="仿宋_GB2312"/>
          <w:color w:val="auto"/>
          <w:sz w:val="32"/>
          <w:szCs w:val="32"/>
          <w:lang w:val="en-US" w:eastAsia="zh-CN"/>
        </w:rPr>
        <w:t>新增固定资产</w:t>
      </w:r>
      <w:r>
        <w:rPr>
          <w:rFonts w:hint="eastAsia" w:ascii="仿宋_GB2312" w:hAnsi="仿宋_GB2312" w:eastAsia="仿宋_GB2312" w:cs="仿宋_GB2312"/>
          <w:color w:val="auto"/>
          <w:sz w:val="32"/>
          <w:szCs w:val="32"/>
        </w:rPr>
        <w:t>；较上年决算数增加</w:t>
      </w:r>
      <w:r>
        <w:rPr>
          <w:rFonts w:hint="eastAsia" w:ascii="仿宋_GB2312" w:hAnsi="仿宋_GB2312" w:eastAsia="仿宋_GB2312" w:cs="仿宋_GB2312"/>
          <w:color w:val="auto"/>
          <w:sz w:val="32"/>
          <w:szCs w:val="32"/>
          <w:u w:val="single"/>
          <w:lang w:val="en-US" w:eastAsia="zh-CN"/>
        </w:rPr>
        <w:t>99</w:t>
      </w:r>
      <w:r>
        <w:rPr>
          <w:rFonts w:hint="eastAsia" w:ascii="微软雅黑" w:hAnsi="微软雅黑" w:eastAsia="微软雅黑" w:cs="微软雅黑"/>
          <w:color w:val="auto"/>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170</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u w:val="single"/>
          <w:lang w:val="en-US" w:eastAsia="zh-CN"/>
        </w:rPr>
        <w:t>100</w:t>
      </w:r>
      <w:r>
        <w:rPr>
          <w:rFonts w:hint="eastAsia" w:ascii="仿宋_GB2312" w:hAnsi="仿宋_GB2312" w:eastAsia="仿宋_GB2312" w:cs="仿宋_GB2312"/>
          <w:color w:val="auto"/>
          <w:sz w:val="32"/>
          <w:szCs w:val="32"/>
        </w:rPr>
        <w:t>%。</w:t>
      </w:r>
    </w:p>
    <w:p>
      <w:pPr>
        <w:spacing w:line="540" w:lineRule="exact"/>
        <w:ind w:firstLine="640" w:firstLineChars="200"/>
        <w:outlineLvl w:val="1"/>
        <w:rPr>
          <w:rFonts w:ascii="Times New Roman" w:hAnsi="Times New Roman" w:eastAsia="黑体"/>
          <w:kern w:val="0"/>
          <w:sz w:val="32"/>
          <w:szCs w:val="32"/>
        </w:rPr>
      </w:pPr>
      <w:r>
        <w:rPr>
          <w:rFonts w:ascii="Times New Roman" w:hAnsi="Times New Roman" w:eastAsia="黑体"/>
          <w:color w:val="auto"/>
          <w:kern w:val="0"/>
          <w:sz w:val="32"/>
          <w:szCs w:val="32"/>
        </w:rPr>
        <w:t>七、一般公共预算财政</w:t>
      </w:r>
      <w:r>
        <w:rPr>
          <w:rFonts w:ascii="Times New Roman" w:hAnsi="Times New Roman" w:eastAsia="黑体"/>
          <w:kern w:val="0"/>
          <w:sz w:val="32"/>
          <w:szCs w:val="32"/>
        </w:rPr>
        <w:t>拨款“三公”经费支出决算情况说明</w:t>
      </w:r>
    </w:p>
    <w:p>
      <w:pPr>
        <w:autoSpaceDE w:val="0"/>
        <w:autoSpaceDN w:val="0"/>
        <w:adjustRightInd w:val="0"/>
        <w:spacing w:line="540" w:lineRule="exact"/>
        <w:ind w:firstLine="640" w:firstLineChars="200"/>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w:t>
      </w:r>
      <w:r>
        <w:rPr>
          <w:rFonts w:hint="eastAsia" w:ascii="Times New Roman" w:hAnsi="Times New Roman" w:eastAsia="仿宋_GB2312"/>
          <w:kern w:val="0"/>
          <w:sz w:val="32"/>
          <w:szCs w:val="32"/>
        </w:rPr>
        <w:t>20</w:t>
      </w:r>
      <w:r>
        <w:rPr>
          <w:rFonts w:ascii="Times New Roman" w:hAnsi="Times New Roman" w:eastAsia="仿宋_GB2312"/>
          <w:kern w:val="0"/>
          <w:sz w:val="32"/>
          <w:szCs w:val="32"/>
        </w:rPr>
        <w:t>年度“三公”经费一般公共预算财政拨款支出年初预算为</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rPr>
        <w:t>元，支出决算为</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rPr>
        <w:t>元，完成年初预算的</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rPr>
        <w:t>%。与上年相比，减少（增加）</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rPr>
        <w:t>元，下降（增长）</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rPr>
        <w:t>%，决算数小于（大于）年初预算数的主要原因是</w:t>
      </w:r>
      <w:r>
        <w:rPr>
          <w:rFonts w:hint="eastAsia" w:ascii="Times New Roman" w:hAnsi="Times New Roman" w:eastAsia="仿宋_GB2312"/>
          <w:sz w:val="30"/>
          <w:szCs w:val="30"/>
          <w:lang w:val="en-US" w:eastAsia="zh-CN"/>
        </w:rPr>
        <w:t>无</w:t>
      </w:r>
      <w:r>
        <w:rPr>
          <w:rFonts w:ascii="Times New Roman" w:hAnsi="Times New Roman" w:eastAsia="仿宋_GB2312"/>
          <w:kern w:val="0"/>
          <w:sz w:val="32"/>
          <w:szCs w:val="32"/>
        </w:rPr>
        <w:t>。</w:t>
      </w:r>
    </w:p>
    <w:p>
      <w:pPr>
        <w:pStyle w:val="8"/>
        <w:numPr>
          <w:ilvl w:val="0"/>
          <w:numId w:val="3"/>
        </w:numPr>
        <w:spacing w:line="54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“三公”经费一般公共预算财政拨款支出决算具体情况说明</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2020年度“三公”经费一般公共预算财政拨款支出决算中，因公出国（境）费支出占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年初预算为</w:t>
      </w:r>
      <w:r>
        <w:rPr>
          <w:rFonts w:hint="eastAsia" w:ascii="仿宋_GB2312" w:hAnsi="仿宋_GB2312" w:eastAsia="仿宋_GB2312" w:cs="仿宋_GB2312"/>
          <w:bCs/>
          <w:sz w:val="32"/>
          <w:szCs w:val="32"/>
          <w:u w:val="single"/>
          <w:lang w:val="en-US" w:eastAsia="zh-CN"/>
        </w:rPr>
        <w:t>0</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元，完成年初预算的</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%；比上年减少（增加）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元，下降（增长）</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%。决算数小于（大于）年初预算数的主要原因是</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%；比上年减少（增加）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kern w:val="0"/>
          <w:sz w:val="32"/>
          <w:szCs w:val="32"/>
        </w:rPr>
        <w:t>。一般公共预算财政拨款开支的公务用车购置数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%；比上年减少（增加）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。全年国内公务接待批次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人。</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八、政府性基金预算财政拨款收入支出决算情况说明</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2020年度政府性基金预算财政拨款年初结转和结余</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元，本年收入</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元，本年支出</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元，年末结转和结余</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元，较上年决算数增加（减少）</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元，增长（下降）</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color w:val="auto"/>
          <w:sz w:val="32"/>
          <w:szCs w:val="32"/>
        </w:rPr>
        <w:t>。支出具体情况如下（按支出功能分类科目说明）：</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color w:val="auto"/>
          <w:sz w:val="32"/>
          <w:szCs w:val="32"/>
        </w:rPr>
        <w:t xml:space="preserve">。 </w:t>
      </w:r>
    </w:p>
    <w:p>
      <w:pPr>
        <w:spacing w:line="540" w:lineRule="exact"/>
        <w:ind w:firstLine="640" w:firstLineChars="200"/>
        <w:outlineLvl w:val="1"/>
        <w:rPr>
          <w:rFonts w:hint="eastAsia" w:ascii="Times New Roman" w:hAnsi="Times New Roman" w:eastAsia="黑体"/>
          <w:kern w:val="0"/>
          <w:sz w:val="32"/>
          <w:szCs w:val="32"/>
        </w:rPr>
      </w:pPr>
      <w:r>
        <w:rPr>
          <w:rFonts w:hint="eastAsia" w:ascii="Times New Roman" w:hAnsi="Times New Roman" w:eastAsia="黑体"/>
          <w:kern w:val="0"/>
          <w:sz w:val="32"/>
          <w:szCs w:val="32"/>
        </w:rPr>
        <w:t>九、国有资本经营预算财政拨款支出决算情况说明</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2020年度国有资本经营预算财政拨款本年收入</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元，本年支出</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元，年末结转和结余</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color w:val="auto"/>
          <w:sz w:val="32"/>
          <w:szCs w:val="32"/>
        </w:rPr>
        <w:t>元。</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r>
        <w:rPr>
          <w:rFonts w:hint="eastAsia" w:ascii="Times New Roman" w:hAnsi="Times New Roman" w:eastAsia="黑体"/>
          <w:kern w:val="0"/>
          <w:sz w:val="32"/>
          <w:szCs w:val="32"/>
        </w:rPr>
        <w:t>十</w:t>
      </w:r>
      <w:r>
        <w:rPr>
          <w:rFonts w:ascii="Times New Roman" w:hAnsi="Times New Roman" w:eastAsia="黑体"/>
          <w:kern w:val="0"/>
          <w:sz w:val="32"/>
          <w:szCs w:val="32"/>
        </w:rPr>
        <w:t>、其他重要事项的情况说明</w:t>
      </w:r>
    </w:p>
    <w:p>
      <w:pPr>
        <w:numPr>
          <w:ilvl w:val="0"/>
          <w:numId w:val="4"/>
        </w:num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2020年度本部门机关运行经费年初预算为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%；比上年增加（减少）</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%。决算数大于（小于）预算数的主要原因</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（二）政府采购情况说明</w:t>
      </w:r>
    </w:p>
    <w:p>
      <w:pPr>
        <w:widowControl/>
        <w:spacing w:line="54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2020年度本部门政府采购预算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p>
    <w:p>
      <w:p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（三）国有资产占有使用情况说明</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截至2020年12月31日，本部门（单位）房屋面积</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台（套），单价100万元（含）以上专用设备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w:t>
      </w:r>
    </w:p>
    <w:p>
      <w:p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根据预算绩效管理要求，本部</w:t>
      </w:r>
      <w:bookmarkStart w:id="0" w:name="_GoBack"/>
      <w:r>
        <w:rPr>
          <w:rFonts w:hint="eastAsia" w:ascii="仿宋_GB2312" w:hAnsi="仿宋_GB2312" w:eastAsia="仿宋_GB2312" w:cs="仿宋_GB2312"/>
          <w:color w:val="auto"/>
          <w:kern w:val="0"/>
          <w:sz w:val="32"/>
          <w:szCs w:val="32"/>
        </w:rPr>
        <w:t>门组织对2020年度一般公共预算项目支出全面开展绩效自评。涉及项目</w:t>
      </w:r>
      <w:r>
        <w:rPr>
          <w:rFonts w:hint="eastAsia" w:ascii="仿宋_GB2312" w:hAnsi="仿宋_GB2312" w:eastAsia="仿宋_GB2312" w:cs="仿宋_GB2312"/>
          <w:color w:val="auto"/>
          <w:kern w:val="0"/>
          <w:sz w:val="32"/>
          <w:szCs w:val="32"/>
          <w:u w:val="single"/>
          <w:lang w:val="en-US" w:eastAsia="zh-CN"/>
        </w:rPr>
        <w:t>2</w:t>
      </w:r>
      <w:r>
        <w:rPr>
          <w:rFonts w:hint="eastAsia" w:ascii="仿宋_GB2312" w:hAnsi="仿宋_GB2312" w:eastAsia="仿宋_GB2312" w:cs="仿宋_GB2312"/>
          <w:color w:val="auto"/>
          <w:kern w:val="0"/>
          <w:sz w:val="32"/>
          <w:szCs w:val="32"/>
        </w:rPr>
        <w:t>个，涉及资金</w:t>
      </w:r>
      <w:r>
        <w:rPr>
          <w:rFonts w:hint="eastAsia" w:ascii="仿宋_GB2312" w:hAnsi="仿宋_GB2312" w:eastAsia="仿宋_GB2312" w:cs="仿宋_GB2312"/>
          <w:color w:val="auto"/>
          <w:kern w:val="0"/>
          <w:sz w:val="32"/>
          <w:szCs w:val="32"/>
          <w:u w:val="single"/>
          <w:lang w:val="en-US" w:eastAsia="zh-CN"/>
        </w:rPr>
        <w:t>1236240.2</w:t>
      </w:r>
      <w:r>
        <w:rPr>
          <w:rFonts w:hint="eastAsia" w:ascii="仿宋_GB2312" w:hAnsi="仿宋_GB2312" w:eastAsia="仿宋_GB2312" w:cs="仿宋_GB2312"/>
          <w:color w:val="auto"/>
          <w:kern w:val="0"/>
          <w:sz w:val="32"/>
          <w:szCs w:val="32"/>
        </w:rPr>
        <w:t>元，占一般公共预算项目支出总额的</w:t>
      </w:r>
      <w:r>
        <w:rPr>
          <w:rFonts w:hint="eastAsia" w:ascii="仿宋_GB2312" w:hAnsi="仿宋_GB2312" w:eastAsia="仿宋_GB2312" w:cs="仿宋_GB2312"/>
          <w:color w:val="auto"/>
          <w:kern w:val="0"/>
          <w:sz w:val="32"/>
          <w:szCs w:val="32"/>
          <w:u w:val="single"/>
          <w:lang w:val="en-US" w:eastAsia="zh-CN"/>
        </w:rPr>
        <w:t>98.73</w:t>
      </w:r>
      <w:r>
        <w:rPr>
          <w:rFonts w:hint="eastAsia" w:ascii="仿宋_GB2312" w:hAnsi="仿宋_GB2312" w:eastAsia="仿宋_GB2312" w:cs="仿宋_GB2312"/>
          <w:color w:val="auto"/>
          <w:kern w:val="0"/>
          <w:sz w:val="32"/>
          <w:szCs w:val="32"/>
        </w:rPr>
        <w:t>%。组织对2020年度</w:t>
      </w:r>
      <w:r>
        <w:rPr>
          <w:rFonts w:hint="eastAsia" w:ascii="仿宋_GB2312" w:hAnsi="仿宋_GB2312" w:eastAsia="仿宋_GB2312" w:cs="仿宋_GB2312"/>
          <w:color w:val="auto"/>
          <w:kern w:val="0"/>
          <w:sz w:val="32"/>
          <w:szCs w:val="32"/>
          <w:u w:val="single"/>
          <w:lang w:val="en-US" w:eastAsia="zh-CN"/>
        </w:rPr>
        <w:t>0</w:t>
      </w:r>
      <w:r>
        <w:rPr>
          <w:rFonts w:hint="eastAsia" w:ascii="仿宋_GB2312" w:hAnsi="仿宋_GB2312" w:eastAsia="仿宋_GB2312" w:cs="仿宋_GB2312"/>
          <w:color w:val="auto"/>
          <w:kern w:val="0"/>
          <w:sz w:val="32"/>
          <w:szCs w:val="32"/>
        </w:rPr>
        <w:t>个政府性基金预算项目支出开展绩效自评。共涉</w:t>
      </w:r>
      <w:bookmarkEnd w:id="0"/>
      <w:r>
        <w:rPr>
          <w:rFonts w:hint="eastAsia" w:ascii="仿宋_GB2312" w:hAnsi="仿宋_GB2312" w:eastAsia="仿宋_GB2312" w:cs="仿宋_GB2312"/>
          <w:kern w:val="0"/>
          <w:sz w:val="32"/>
          <w:szCs w:val="32"/>
        </w:rPr>
        <w:t>及资金</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元，占政府性基金预算项目支出总额的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 xml:space="preserve">%。 </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共组织对</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个项目开展了重点绩效评价，涉及一般公共预算支出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元，政府性基金预算支出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元。其中，对</w:t>
      </w:r>
      <w:r>
        <w:rPr>
          <w:rFonts w:hint="eastAsia" w:ascii="仿宋_GB2312" w:hAnsi="仿宋_GB2312" w:eastAsia="仿宋_GB2312" w:cs="仿宋_GB2312"/>
          <w:kern w:val="0"/>
          <w:sz w:val="32"/>
          <w:szCs w:val="32"/>
          <w:lang w:val="en-US" w:eastAsia="zh-CN"/>
        </w:rPr>
        <w:t>0个</w:t>
      </w:r>
      <w:r>
        <w:rPr>
          <w:rFonts w:hint="eastAsia" w:ascii="仿宋_GB2312" w:hAnsi="仿宋_GB2312" w:eastAsia="仿宋_GB2312" w:cs="仿宋_GB2312"/>
          <w:kern w:val="0"/>
          <w:sz w:val="32"/>
          <w:szCs w:val="32"/>
        </w:rPr>
        <w:t>项目分别委托第三方机构开展绩效评价。从评价情况来看，</w:t>
      </w:r>
      <w:r>
        <w:rPr>
          <w:rFonts w:hint="eastAsia" w:ascii="仿宋_GB2312" w:hAnsi="仿宋_GB2312" w:eastAsia="仿宋_GB2312" w:cs="仿宋_GB2312"/>
          <w:kern w:val="0"/>
          <w:sz w:val="32"/>
          <w:szCs w:val="32"/>
          <w:lang w:val="en-US" w:eastAsia="zh-CN"/>
        </w:rPr>
        <w:t>无说明</w:t>
      </w:r>
      <w:r>
        <w:rPr>
          <w:rFonts w:hint="eastAsia" w:ascii="仿宋_GB2312" w:hAnsi="仿宋_GB2312" w:eastAsia="仿宋_GB2312" w:cs="仿宋_GB2312"/>
          <w:kern w:val="0"/>
          <w:sz w:val="32"/>
          <w:szCs w:val="32"/>
        </w:rPr>
        <w:t>。</w:t>
      </w:r>
    </w:p>
    <w:p>
      <w:pPr>
        <w:spacing w:line="580" w:lineRule="exact"/>
        <w:ind w:firstLine="640" w:firstLineChars="200"/>
        <w:outlineLvl w:val="1"/>
        <w:rPr>
          <w:rFonts w:hint="eastAsia" w:ascii="仿宋_GB2312" w:hAnsi="仿宋_GB2312" w:eastAsia="仿宋_GB2312" w:cs="仿宋_GB2312"/>
          <w:kern w:val="0"/>
          <w:sz w:val="32"/>
          <w:szCs w:val="32"/>
        </w:rPr>
      </w:pPr>
    </w:p>
    <w:p>
      <w:pPr>
        <w:spacing w:line="580" w:lineRule="exact"/>
        <w:jc w:val="center"/>
        <w:outlineLvl w:val="1"/>
        <w:rPr>
          <w:rFonts w:ascii="Times New Roman" w:hAnsi="Times New Roman" w:eastAsia="方正小标宋_GBK"/>
          <w:kern w:val="0"/>
          <w:sz w:val="44"/>
          <w:szCs w:val="44"/>
        </w:rPr>
      </w:pPr>
      <w:r>
        <w:rPr>
          <w:rFonts w:ascii="Times New Roman" w:hAnsi="Times New Roman" w:eastAsia="方正小标宋_GBK"/>
          <w:kern w:val="0"/>
          <w:sz w:val="44"/>
          <w:szCs w:val="44"/>
        </w:rPr>
        <w:br w:type="page"/>
      </w:r>
      <w:r>
        <w:rPr>
          <w:rFonts w:ascii="Times New Roman" w:hAnsi="Times New Roman" w:eastAsia="方正小标宋_GBK"/>
          <w:kern w:val="0"/>
          <w:sz w:val="44"/>
          <w:szCs w:val="44"/>
        </w:rPr>
        <w:t>第四部分  名词解释</w:t>
      </w:r>
    </w:p>
    <w:p>
      <w:pPr>
        <w:snapToGrid w:val="0"/>
        <w:spacing w:line="580" w:lineRule="exact"/>
        <w:rPr>
          <w:rFonts w:ascii="Times New Roman" w:hAnsi="Times New Roman" w:eastAsia="方正小标宋_GBK"/>
          <w:kern w:val="0"/>
          <w:sz w:val="44"/>
          <w:szCs w:val="44"/>
        </w:rPr>
      </w:pP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一、支出功能分类科目编码、名称：</w:t>
      </w:r>
      <w:r>
        <w:rPr>
          <w:rFonts w:ascii="Times New Roman" w:hAnsi="Times New Roman" w:eastAsia="仿宋_GB2312"/>
          <w:sz w:val="32"/>
          <w:szCs w:val="32"/>
        </w:rPr>
        <w:t>按照《</w:t>
      </w:r>
      <w:r>
        <w:rPr>
          <w:rFonts w:hint="eastAsia" w:ascii="Times New Roman" w:hAnsi="Times New Roman" w:eastAsia="仿宋_GB2312"/>
          <w:sz w:val="32"/>
          <w:szCs w:val="32"/>
        </w:rPr>
        <w:t>2020</w:t>
      </w:r>
      <w:r>
        <w:rPr>
          <w:rFonts w:ascii="Times New Roman" w:hAnsi="Times New Roman" w:eastAsia="仿宋_GB2312"/>
          <w:sz w:val="32"/>
          <w:szCs w:val="32"/>
        </w:rPr>
        <w:t>年政府收支分类科目》“类”、“款”、“项”的编码和名称填列</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二、年初结转和结余：</w:t>
      </w:r>
      <w:r>
        <w:rPr>
          <w:rFonts w:ascii="Times New Roman" w:hAnsi="Times New Roman" w:eastAsia="仿宋_GB2312"/>
          <w:sz w:val="32"/>
          <w:szCs w:val="32"/>
        </w:rPr>
        <w:t>是指单位上年结转本年使用的基本支出结转、项目支出结转和结余和经营结余。</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三、基本支出结转：</w:t>
      </w:r>
      <w:r>
        <w:rPr>
          <w:rFonts w:ascii="Times New Roman" w:hAnsi="Times New Roman" w:eastAsia="仿宋_GB2312"/>
          <w:sz w:val="32"/>
          <w:szCs w:val="32"/>
        </w:rPr>
        <w:t>是指单位基本支出收支相抵后结转本年使用的累计余额，包括事业单位未转入事业基金的基本支出结转。</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四、项目支出结转和结余：</w:t>
      </w:r>
      <w:r>
        <w:rPr>
          <w:rFonts w:ascii="Times New Roman" w:hAnsi="Times New Roman" w:eastAsia="仿宋_GB2312"/>
          <w:sz w:val="32"/>
          <w:szCs w:val="32"/>
        </w:rPr>
        <w:t>是指单位从财政部门或上级单位等取得，需要结转本年继续使用的项目支出收支累计余额。</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五、基本建设资金结转和结余：</w:t>
      </w:r>
      <w:r>
        <w:rPr>
          <w:rFonts w:ascii="Times New Roman" w:hAnsi="Times New Roman" w:eastAsia="仿宋_GB2312"/>
          <w:sz w:val="32"/>
          <w:szCs w:val="32"/>
        </w:rPr>
        <w:t>是指单位基本建设类资金中非偿还性资金结转本年使用的累计余额。</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六、本年收入：</w:t>
      </w:r>
      <w:r>
        <w:rPr>
          <w:rFonts w:ascii="Times New Roman" w:hAnsi="Times New Roman" w:eastAsia="仿宋_GB2312"/>
          <w:sz w:val="32"/>
          <w:szCs w:val="32"/>
        </w:rPr>
        <w:t>是指单位本年度取得的全部收入。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七、本年支出：</w:t>
      </w:r>
      <w:r>
        <w:rPr>
          <w:rFonts w:ascii="Times New Roman" w:hAnsi="Times New Roman" w:eastAsia="仿宋_GB2312"/>
          <w:sz w:val="32"/>
          <w:szCs w:val="32"/>
        </w:rPr>
        <w:t>是指单位本年度全部支出。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八、结余分配：</w:t>
      </w:r>
      <w:r>
        <w:rPr>
          <w:rFonts w:ascii="Times New Roman" w:hAnsi="Times New Roman" w:eastAsia="仿宋_GB2312"/>
          <w:sz w:val="32"/>
          <w:szCs w:val="32"/>
        </w:rPr>
        <w:t>是指单位当年结余的分配情况。</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九、年末结转和结余：</w:t>
      </w:r>
      <w:r>
        <w:rPr>
          <w:rFonts w:ascii="Times New Roman" w:hAnsi="Times New Roman" w:eastAsia="仿宋_GB2312"/>
          <w:sz w:val="32"/>
          <w:szCs w:val="32"/>
        </w:rPr>
        <w:t>是指单位结转下年的基本支出结转、项目支出结转和结余和经营结余。</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十、财政拨款收入：</w:t>
      </w:r>
      <w:r>
        <w:rPr>
          <w:rFonts w:ascii="Times New Roman" w:hAnsi="Times New Roman" w:eastAsia="仿宋_GB2312"/>
          <w:sz w:val="32"/>
          <w:szCs w:val="32"/>
        </w:rPr>
        <w:t>是指单位本年度从本级财政部门取得的财政拨款，包括一般公共预算财政拨款和政府性基金预算财政拨款。</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十一、事业收入：</w:t>
      </w:r>
      <w:r>
        <w:rPr>
          <w:rFonts w:ascii="Times New Roman" w:hAnsi="Times New Roman" w:eastAsia="仿宋_GB2312"/>
          <w:sz w:val="32"/>
          <w:szCs w:val="32"/>
        </w:rPr>
        <w:t>是指事业单位开展专业业务活动及其辅助活动取得的收入。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十二、经营收入：</w:t>
      </w:r>
      <w:r>
        <w:rPr>
          <w:rFonts w:ascii="Times New Roman" w:hAnsi="Times New Roman" w:eastAsia="仿宋_GB2312"/>
          <w:sz w:val="32"/>
          <w:szCs w:val="32"/>
        </w:rPr>
        <w:t>是指事业单位在专业业务活动及其辅助活动之外开展非独立核算经营活动取得的收入。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十三、其他收入：</w:t>
      </w:r>
      <w:r>
        <w:rPr>
          <w:rFonts w:ascii="Times New Roman" w:hAnsi="Times New Roman" w:eastAsia="仿宋_GB2312"/>
          <w:sz w:val="32"/>
          <w:szCs w:val="32"/>
        </w:rPr>
        <w:t>是指单位取得的除“财政拨款收入”、“事业收入”、“经营收入”等以外的各项收入。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十四、基本支出：</w:t>
      </w:r>
      <w:r>
        <w:rPr>
          <w:rFonts w:ascii="Times New Roman" w:hAnsi="Times New Roman" w:eastAsia="仿宋_GB2312"/>
          <w:sz w:val="32"/>
          <w:szCs w:val="32"/>
        </w:rPr>
        <w:t>是指单位为保障机构正常运转、完成日常工作任务而发生的各项支出。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十五、项目支出：</w:t>
      </w:r>
      <w:r>
        <w:rPr>
          <w:rFonts w:ascii="Times New Roman" w:hAnsi="Times New Roman" w:eastAsia="仿宋_GB2312"/>
          <w:sz w:val="32"/>
          <w:szCs w:val="32"/>
        </w:rPr>
        <w:t>是指单位为完成特定的行政工作任务或事业发展目标，在基本支出之外发生的各项支出。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十六、经营支出：</w:t>
      </w:r>
      <w:r>
        <w:rPr>
          <w:rFonts w:ascii="Times New Roman" w:hAnsi="Times New Roman" w:eastAsia="仿宋_GB2312"/>
          <w:sz w:val="32"/>
          <w:szCs w:val="32"/>
        </w:rPr>
        <w:t>是指事业单位在专业活动及辅助活动之外开展非独立核算经营活动发生的支出。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十七、人员经费：</w:t>
      </w:r>
      <w:r>
        <w:rPr>
          <w:rFonts w:ascii="Times New Roman" w:hAnsi="Times New Roman" w:eastAsia="仿宋_GB2312"/>
          <w:sz w:val="32"/>
          <w:szCs w:val="32"/>
        </w:rPr>
        <w:t>是指单位基本支出中用一般公共预算财政拨款安排的“工资福利支出”和“对个人和家庭的补助”。</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十八、日常公用经费：</w:t>
      </w:r>
      <w:r>
        <w:rPr>
          <w:rFonts w:ascii="Times New Roman" w:hAnsi="Times New Roman" w:eastAsia="仿宋_GB2312"/>
          <w:sz w:val="32"/>
          <w:szCs w:val="32"/>
        </w:rPr>
        <w:t>是指单位用一般公共预算财政拨款安排的除人员经费以外的基本支出。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color w:val="000000"/>
          <w:kern w:val="0"/>
          <w:sz w:val="32"/>
          <w:szCs w:val="32"/>
        </w:rPr>
        <w:t>十九、“三公”经费：</w:t>
      </w:r>
      <w:r>
        <w:rPr>
          <w:rFonts w:ascii="Times New Roman" w:hAnsi="Times New Roman" w:eastAsia="仿宋_GB2312"/>
          <w:color w:val="000000"/>
          <w:kern w:val="0"/>
          <w:sz w:val="32"/>
          <w:szCs w:val="32"/>
        </w:rPr>
        <w:t>纳入中央财政预决算管理的“三公”经费，是指部门用财政拨款安排的因公出国（境）费、公务用车购置及运行费和公务接待费。</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color w:val="333333"/>
          <w:kern w:val="0"/>
          <w:sz w:val="32"/>
          <w:szCs w:val="32"/>
        </w:rPr>
        <w:t>二十、机关运行经费：</w:t>
      </w:r>
      <w:r>
        <w:rPr>
          <w:rFonts w:ascii="Times New Roman" w:hAnsi="Times New Roman"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spacing w:line="580" w:lineRule="exact"/>
        <w:ind w:firstLine="420" w:firstLineChars="200"/>
        <w:rPr>
          <w:rFonts w:ascii="Times New Roman" w:hAnsi="Times New Roman" w:eastAsia="仿宋_GB2312"/>
          <w:kern w:val="0"/>
          <w:sz w:val="32"/>
          <w:szCs w:val="32"/>
        </w:rPr>
      </w:pPr>
      <w:r>
        <w:rPr>
          <w:rFonts w:ascii="Times New Roman" w:hAnsi="Times New Roman"/>
        </w:rPr>
        <w:t xml:space="preserve"> </w:t>
      </w:r>
      <w:r>
        <w:rPr>
          <w:rFonts w:ascii="Times New Roman" w:hAnsi="Times New Roman" w:eastAsia="仿宋_GB2312"/>
          <w:kern w:val="0"/>
          <w:sz w:val="32"/>
          <w:szCs w:val="32"/>
        </w:rPr>
        <w:t>……</w:t>
      </w:r>
    </w:p>
    <w:p>
      <w:pPr>
        <w:widowControl/>
        <w:spacing w:line="560" w:lineRule="exac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(名词解释应以财务会计制度、政府收支分类科目以及部门预算管理等规定为基本说明，可在此基础上结合部门实际情况适当细化。三公”经费支出口径应在专业名词解释中予以说明。)</w:t>
      </w:r>
    </w:p>
    <w:p>
      <w:pPr>
        <w:widowControl/>
        <w:spacing w:line="560" w:lineRule="exact"/>
        <w:jc w:val="left"/>
        <w:rPr>
          <w:rFonts w:ascii="Times New Roman" w:hAnsi="Times New Roman" w:eastAsia="仿宋_GB2312"/>
          <w:kern w:val="0"/>
          <w:sz w:val="32"/>
          <w:szCs w:val="32"/>
        </w:rPr>
      </w:pPr>
    </w:p>
    <w:p>
      <w:pPr>
        <w:pBdr>
          <w:top w:val="none" w:color="auto" w:sz="0" w:space="1"/>
          <w:left w:val="none" w:color="auto" w:sz="0" w:space="4"/>
          <w:bottom w:val="none" w:color="auto" w:sz="0" w:space="1"/>
          <w:right w:val="none" w:color="auto" w:sz="0" w:space="4"/>
        </w:pBdr>
        <w:spacing w:line="440" w:lineRule="exact"/>
        <w:ind w:firstLine="280" w:firstLineChars="100"/>
        <w:rPr>
          <w:rFonts w:ascii="Times New Roman" w:hAnsi="Times New Roman" w:eastAsia="仿宋_GB2312"/>
          <w:color w:val="000000"/>
          <w:sz w:val="28"/>
          <w:szCs w:val="28"/>
        </w:rPr>
      </w:pPr>
    </w:p>
    <w:p>
      <w:pPr>
        <w:pBdr>
          <w:top w:val="none" w:color="auto" w:sz="0" w:space="1"/>
          <w:left w:val="none" w:color="auto" w:sz="0" w:space="4"/>
          <w:bottom w:val="none" w:color="auto" w:sz="0" w:space="1"/>
          <w:right w:val="none" w:color="auto" w:sz="0" w:space="4"/>
        </w:pBdr>
        <w:spacing w:line="440" w:lineRule="exact"/>
        <w:ind w:firstLine="280" w:firstLineChars="100"/>
        <w:rPr>
          <w:rFonts w:ascii="Times New Roman" w:hAnsi="Times New Roman" w:eastAsia="仿宋_GB2312"/>
          <w:color w:val="000000"/>
          <w:sz w:val="28"/>
          <w:szCs w:val="28"/>
        </w:rPr>
      </w:pPr>
    </w:p>
    <w:p>
      <w:pPr>
        <w:adjustRightInd w:val="0"/>
        <w:snapToGrid w:val="0"/>
        <w:spacing w:line="560" w:lineRule="exact"/>
        <w:ind w:right="160"/>
        <w:jc w:val="right"/>
        <w:rPr>
          <w:rFonts w:hint="eastAsia" w:ascii="仿宋" w:hAnsi="仿宋" w:eastAsia="仿宋"/>
          <w:sz w:val="32"/>
          <w:szCs w:val="32"/>
        </w:rPr>
      </w:pPr>
    </w:p>
    <w:p>
      <w:pPr>
        <w:adjustRightInd w:val="0"/>
        <w:snapToGrid w:val="0"/>
        <w:spacing w:line="560" w:lineRule="exact"/>
        <w:ind w:right="160"/>
        <w:jc w:val="right"/>
        <w:rPr>
          <w:rFonts w:hint="eastAsia" w:ascii="仿宋" w:hAnsi="仿宋" w:eastAsia="仿宋"/>
          <w:sz w:val="32"/>
          <w:szCs w:val="32"/>
        </w:rPr>
      </w:pPr>
    </w:p>
    <w:p>
      <w:pPr>
        <w:adjustRightInd w:val="0"/>
        <w:snapToGrid w:val="0"/>
        <w:spacing w:line="560" w:lineRule="exact"/>
        <w:ind w:right="160"/>
        <w:jc w:val="right"/>
        <w:rPr>
          <w:rFonts w:hint="eastAsia" w:ascii="仿宋" w:hAnsi="仿宋" w:eastAsia="仿宋"/>
          <w:sz w:val="32"/>
          <w:szCs w:val="32"/>
        </w:rPr>
      </w:pPr>
    </w:p>
    <w:p/>
    <w:sectPr>
      <w:footerReference r:id="rId5" w:type="default"/>
      <w:footerReference r:id="rId6"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- 9 -</w:t>
    </w:r>
    <w:r>
      <w:rPr>
        <w:rStyle w:val="6"/>
        <w:sz w:val="28"/>
        <w:szCs w:val="28"/>
      </w:rPr>
      <w:fldChar w:fldCharType="end"/>
    </w:r>
  </w:p>
  <w:p>
    <w:pPr>
      <w:pStyle w:val="3"/>
      <w:jc w:val="center"/>
    </w:pPr>
  </w:p>
  <w:p>
    <w:pPr>
      <w:pStyle w:val="3"/>
      <w:wordWrap w:val="0"/>
      <w:jc w:val="right"/>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12</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2"/>
      <w:numFmt w:val="chineseCounting"/>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0000000D"/>
    <w:multiLevelType w:val="singleLevel"/>
    <w:tmpl w:val="0000000D"/>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347AF"/>
    <w:rsid w:val="07171C38"/>
    <w:rsid w:val="090347AF"/>
    <w:rsid w:val="0F2E25FB"/>
    <w:rsid w:val="15793529"/>
    <w:rsid w:val="303448D5"/>
    <w:rsid w:val="3DC067C3"/>
    <w:rsid w:val="51215AB4"/>
    <w:rsid w:val="54E73105"/>
    <w:rsid w:val="5897311A"/>
    <w:rsid w:val="648D373A"/>
    <w:rsid w:val="685B0F04"/>
    <w:rsid w:val="6C3867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basedOn w:val="5"/>
    <w:uiPriority w:val="0"/>
  </w:style>
  <w:style w:type="character" w:styleId="7">
    <w:name w:val="Hyperlink"/>
    <w:basedOn w:val="5"/>
    <w:qFormat/>
    <w:uiPriority w:val="0"/>
    <w:rPr>
      <w:color w:val="0000FF"/>
      <w:u w:val="single"/>
    </w:rPr>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2021-08-12T08:57:00Z</dcterms:created>
  <dc:creator>兴庆区财政局收文员</dc:creator>
  <cp:lastModifiedBy>泛泛</cp:lastModifiedBy>
  <dcterms:modified xsi:type="dcterms:W3CDTF">2021-08-30T06:49:15Z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FE682C452D88491C8998B83363F2BD55</vt:lpwstr>
  </property>
</Properties>
</file>