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0"/>
        <w:jc w:val="left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兴庆区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医疗保障局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auto"/>
          <w:spacing w:val="0"/>
          <w:sz w:val="43"/>
          <w:szCs w:val="43"/>
          <w:shd w:val="clear" w:fill="FFFFFF"/>
        </w:rPr>
        <w:t>随机抽查事项清单</w:t>
      </w:r>
    </w:p>
    <w:tbl>
      <w:tblPr>
        <w:tblStyle w:val="3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"/>
        <w:gridCol w:w="884"/>
        <w:gridCol w:w="1138"/>
        <w:gridCol w:w="1074"/>
        <w:gridCol w:w="1346"/>
        <w:gridCol w:w="1059"/>
        <w:gridCol w:w="898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抽查项目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检查对象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事项类别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检查方式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检查主体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抽查类别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</w:rPr>
              <w:t>抽查事项</w:t>
            </w:r>
          </w:p>
        </w:tc>
        <w:tc>
          <w:tcPr>
            <w:tcW w:w="107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4" w:hRule="atLeast"/>
          <w:jc w:val="center"/>
        </w:trPr>
        <w:tc>
          <w:tcPr>
            <w:tcW w:w="3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医疗救助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法律法规遵守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执行情况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的检查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定点医疗机构"一站式"服务窗口办理审核、诊疗、结算情况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定点医疗机构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一般检查事项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现场检查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兴庆区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医疗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保障局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《宁夏回族自治区医疗救助办法》（2015年自治区政府令第78号）第二十九条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  <w:jc w:val="center"/>
        </w:trPr>
        <w:tc>
          <w:tcPr>
            <w:tcW w:w="3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</w:rPr>
              <w:t>欺诈骗保行为检查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欺诈骗取医疗保险基金支出行为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1.定点医疗机构；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18"/>
                <w:szCs w:val="18"/>
              </w:rPr>
              <w:t>.定点零售药店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一般检查事项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18"/>
                <w:szCs w:val="18"/>
              </w:rPr>
              <w:t>现场检查；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2.线上数据审核；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3.走访调查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兴庆区医疗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保障局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《中华人民共和国社会保险法》（2018年修正）第八十七条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、《宁夏回族自治区基本医疗保险服务监督办法》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（201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年自治区政府令第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号）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第二十一条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7" w:hRule="atLeast"/>
          <w:jc w:val="center"/>
        </w:trPr>
        <w:tc>
          <w:tcPr>
            <w:tcW w:w="3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欺诈骗保行为检查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欺诈骗取医疗保险待遇行为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18"/>
                <w:szCs w:val="18"/>
              </w:rPr>
              <w:t>.定点医疗机构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18"/>
                <w:szCs w:val="18"/>
              </w:rPr>
              <w:t>.定点零售药店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一般检查事项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1.现场检查；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2.线上数据审核；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3.走访调查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兴庆区医疗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保障局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5" w:lineRule="atLeast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《中华人民共和国社会保险法》（2018年修正）第八十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条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、《宁夏回族自治区基本医疗保险服务监督办法》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（201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年自治区政府令第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号）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第二十二条、第二十三条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GE3NDA3MGY5YmZhMTA1OGRiMDJkNjIzNjE4NGMifQ=="/>
  </w:docVars>
  <w:rsids>
    <w:rsidRoot w:val="6EED3C35"/>
    <w:rsid w:val="019416BC"/>
    <w:rsid w:val="117E4BAD"/>
    <w:rsid w:val="26DA4E60"/>
    <w:rsid w:val="44546C91"/>
    <w:rsid w:val="5BE64E4B"/>
    <w:rsid w:val="620D1E62"/>
    <w:rsid w:val="622B159F"/>
    <w:rsid w:val="6EED3C35"/>
    <w:rsid w:val="A9DF5E41"/>
    <w:rsid w:val="FDAFE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2"/>
    <w:basedOn w:val="1"/>
    <w:qFormat/>
    <w:uiPriority w:val="0"/>
    <w:pPr>
      <w:adjustRightInd w:val="0"/>
      <w:snapToGrid w:val="0"/>
      <w:spacing w:line="590" w:lineRule="exact"/>
      <w:ind w:firstLine="640"/>
    </w:pPr>
    <w:rPr>
      <w:rFonts w:ascii="方正楷体_GBK" w:hAnsi="Times New Roman" w:eastAsia="方正楷体_GBK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461</Characters>
  <Lines>0</Lines>
  <Paragraphs>0</Paragraphs>
  <TotalTime>326</TotalTime>
  <ScaleCrop>false</ScaleCrop>
  <LinksUpToDate>false</LinksUpToDate>
  <CharactersWithSpaces>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2020-08-19T16:07:00Z</dcterms:created>
  <dc:creator>云飞</dc:creator>
  <cp:lastModifiedBy>Administrator</cp:lastModifiedBy>
  <dcterms:modified xsi:type="dcterms:W3CDTF">2023-01-12T06:20:08Z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367F39FF748941298AE72225D5D50AFA</vt:lpwstr>
  </property>
</Properties>
</file>