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lang w:val="en-US" w:eastAsia="zh-CN"/>
        </w:rPr>
      </w:pPr>
      <w:r>
        <w:rPr>
          <w:rFonts w:hint="eastAsia" w:ascii="方正小标宋_GBK" w:hAnsi="方正小标宋_GBK" w:eastAsia="方正小标宋_GBK" w:cs="方正小标宋_GBK"/>
          <w:b w:val="0"/>
          <w:bCs w:val="0"/>
          <w:sz w:val="44"/>
        </w:rPr>
        <mc:AlternateContent>
          <mc:Choice Requires="wpg">
            <w:drawing>
              <wp:anchor distT="0" distB="0" distL="114300" distR="114300" simplePos="0" relativeHeight="251659264" behindDoc="0" locked="0" layoutInCell="1" allowOverlap="1">
                <wp:simplePos x="0" y="0"/>
                <wp:positionH relativeFrom="column">
                  <wp:posOffset>-67945</wp:posOffset>
                </wp:positionH>
                <wp:positionV relativeFrom="paragraph">
                  <wp:posOffset>668020</wp:posOffset>
                </wp:positionV>
                <wp:extent cx="5372100" cy="57150"/>
                <wp:effectExtent l="0" t="13970" r="0" b="24130"/>
                <wp:wrapNone/>
                <wp:docPr id="6" name="组合 6"/>
                <wp:cNvGraphicFramePr/>
                <a:graphic xmlns:a="http://schemas.openxmlformats.org/drawingml/2006/main">
                  <a:graphicData uri="http://schemas.microsoft.com/office/word/2010/wordprocessingGroup">
                    <wpg:wgp>
                      <wpg:cNvGrpSpPr/>
                      <wpg:grpSpPr>
                        <a:xfrm>
                          <a:off x="0" y="0"/>
                          <a:ext cx="5372100" cy="57150"/>
                          <a:chOff x="7665" y="2655"/>
                          <a:chExt cx="8460" cy="90"/>
                        </a:xfrm>
                        <a:effectLst/>
                      </wpg:grpSpPr>
                      <wps:wsp>
                        <wps:cNvPr id="2" name="直接连接符 3"/>
                        <wps:cNvCnPr/>
                        <wps:spPr>
                          <a:xfrm>
                            <a:off x="7665" y="2655"/>
                            <a:ext cx="8460" cy="0"/>
                          </a:xfrm>
                          <a:prstGeom prst="line">
                            <a:avLst/>
                          </a:prstGeom>
                          <a:noFill/>
                          <a:ln w="28575" cap="flat" cmpd="sng" algn="ctr">
                            <a:solidFill>
                              <a:srgbClr val="FF0000"/>
                            </a:solidFill>
                            <a:prstDash val="solid"/>
                          </a:ln>
                          <a:effectLst/>
                        </wps:spPr>
                        <wps:bodyPr/>
                      </wps:wsp>
                      <wps:wsp>
                        <wps:cNvPr id="7" name="直接连接符 4"/>
                        <wps:cNvCnPr/>
                        <wps:spPr>
                          <a:xfrm>
                            <a:off x="7665" y="2745"/>
                            <a:ext cx="8460" cy="0"/>
                          </a:xfrm>
                          <a:prstGeom prst="line">
                            <a:avLst/>
                          </a:prstGeom>
                          <a:noFill/>
                          <a:ln w="19050" cap="flat" cmpd="sng" algn="ctr">
                            <a:solidFill>
                              <a:srgbClr val="FF0000"/>
                            </a:solidFill>
                            <a:prstDash val="solid"/>
                          </a:ln>
                          <a:effectLst/>
                        </wps:spPr>
                        <wps:bodyPr/>
                      </wps:wsp>
                    </wpg:wgp>
                  </a:graphicData>
                </a:graphic>
              </wp:anchor>
            </w:drawing>
          </mc:Choice>
          <mc:Fallback>
            <w:pict>
              <v:group id="_x0000_s1026" o:spid="_x0000_s1026" o:spt="203" style="position:absolute;left:0pt;margin-left:-5.35pt;margin-top:52.6pt;height:4.5pt;width:423pt;z-index:251659264;mso-width-relative:page;mso-height-relative:page;" coordorigin="7665,2655" coordsize="8460,90" o:gfxdata="UEsDBAoAAAAAAIdO4kAAAAAAAAAAAAAAAAAEAAAAZHJzL1BLAwQUAAAACACHTuJAABXn3tsAAAAL&#10;AQAADwAAAGRycy9kb3ducmV2LnhtbE2PwU7DMAyG70i8Q2QkbluSlsLUNZ3QBJwmpG1IaLes8dpq&#10;TVI1Wbu9PeYER/v/9Ptzsbrajo04hNY7BXIugKGrvGldreBr/z5bAAtRO6M771DBDQOsyvu7QufG&#10;T26L4y7WjEpcyLWCJsY+5zxUDVod5r5HR9nJD1ZHGoeam0FPVG47ngjxzK1uHV1odI/rBqvz7mIV&#10;fEx6ek3l27g5n9a3wz77/N5IVOrxQYolsIjX+AfDrz6pQ0lOR39xJrBOwUyKF0IpEFkCjIhFmqXA&#10;jrSRTwnwsuD/fyh/AFBLAwQUAAAACACHTuJARNjyBW8CAAC1BgAADgAAAGRycy9lMm9Eb2MueG1s&#10;1ZW9jhMxEMd7JN7Bck92k8vu5lbZXHEhaRCcdPAAjtf7IXlty3ayuZ6CCtEj0XEVJR0FTwPHYzD2&#10;bhIIh3Q6BBIpHH+MxzO/v8c7Pds2HG2YNrUUGR4OQoyYoDKvRZnhF88XjyYYGUtETrgULMNXzOCz&#10;2cMH01albCQryXOmETgRJm1VhitrVRoEhlasIWYgFROwWEjdEAtDXQa5Ji14b3gwCsM4aKXOlZaU&#10;GQOz824R9x71XRzKoqgpm0u6bpiwnVfNOLGQkqlqZfDMR1sUjNpnRWGYRTzDkKn1LRwC/ZVrg9mU&#10;pKUmqqppHwK5SwhHOTWkFnDo3tWcWILWuv7FVVNTLY0s7IDKJugS8UQgi2F4xGap5Vr5XMq0LdUe&#10;Ogh1RP3ebunTzYVGdZ7hGCNBGhD85tPLL29eodixaVWZgslSq0t1ofuJshu5dLeFbtw/JIK2nurV&#10;nirbWkRhMjpJRsMQgFNYi5Jh1FOnFUjjdiVxHGEEi6M4ijpFaPW43z0Zx/3WU78vOBzKvL5PjIW4&#10;AhfpPrBWwd00B2Dmz4BdVkQxr4NxNHpgoz2wtx+/vn7/7fM7aG8+XKOTjpy3PRc9NpMaIHgLs1uy&#10;35E75H6cutLGLplskOtkmNfCxUdSsulxkHRn4qaFXNSc+7vOBWqB9CRKgDklUMAFFA50GwWXwIgS&#10;I8JLeBmo1d6lkbzO3XbnyOhydc412hCop8UihJ9LFkT5ycydPSem6uz8Um/GhXNzpNyOjZNtJfMr&#10;jwwU9SK6S/gP1Ex+p+b4nmom4/4u/301h6chFNV/oqavVHjN/K3pX173XP449vV8+NrMv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AFefe2wAAAAsBAAAPAAAAAAAAAAEAIAAAACIAAABkcnMvZG93&#10;bnJldi54bWxQSwECFAAUAAAACACHTuJARNjyBW8CAAC1BgAADgAAAAAAAAABACAAAAAqAQAAZHJz&#10;L2Uyb0RvYy54bWxQSwUGAAAAAAYABgBZAQAACwYAAAAA&#10;">
                <o:lock v:ext="edit" aspectratio="f"/>
                <v:line id="直接连接符 3" o:spid="_x0000_s1026" o:spt="20" style="position:absolute;left:7665;top:2655;height:0;width:8460;" filled="f" stroked="t" coordsize="21600,21600" o:gfxdata="UEsDBAoAAAAAAIdO4kAAAAAAAAAAAAAAAAAEAAAAZHJzL1BLAwQUAAAACACHTuJArq2rzL0AAADa&#10;AAAADwAAAGRycy9kb3ducmV2LnhtbEWPwWrDMBBE74H+g9hCbolsH0pwrYS0tNBDIcRN6utibSwT&#10;a2Us1Xb+PioUehxm5g1T7GbbiZEG3zpWkK4TEMS10y03Ck5f76sNCB+QNXaOScGNPOy2D4sCc+0m&#10;PtJYhkZECPscFZgQ+lxKXxuy6NeuJ47exQ0WQ5RDI/WAU4TbTmZJ8iQtthwXDPb0aqi+lj9Wwfy9&#10;2ZvqM7y8ufPBXOeqtGN2U2r5mCbPIALN4T/81/7QCjL4vRJvgNze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ravMvQAA&#10;ANoAAAAPAAAAAAAAAAEAIAAAACIAAABkcnMvZG93bnJldi54bWxQSwECFAAUAAAACACHTuJAMy8F&#10;njsAAAA5AAAAEAAAAAAAAAABACAAAAAMAQAAZHJzL3NoYXBleG1sLnhtbFBLBQYAAAAABgAGAFsB&#10;AAC2AwAAAAA=&#10;">
                  <v:fill on="f" focussize="0,0"/>
                  <v:stroke weight="2.25pt" color="#FF0000" joinstyle="round"/>
                  <v:imagedata o:title=""/>
                  <o:lock v:ext="edit" aspectratio="f"/>
                </v:line>
                <v:line id="直接连接符 4" o:spid="_x0000_s1026" o:spt="20" style="position:absolute;left:7665;top:2745;height:0;width:8460;" filled="f" stroked="t" coordsize="21600,21600" o:gfxdata="UEsDBAoAAAAAAIdO4kAAAAAAAAAAAAAAAAAEAAAAZHJzL1BLAwQUAAAACACHTuJATeotpbwAAADa&#10;AAAADwAAAGRycy9kb3ducmV2LnhtbEWPQWuDQBSE74H+h+UVequrPZhiXT0IJTkUJLaH5PZwX1Xq&#10;vhV3q/bfdwOBHIeZ+YbJy82MYqHZDZYVJFEMgri1euBOwdfn+/MrCOeRNY6WScEfOSiLh12OmbYr&#10;n2hpfCcChF2GCnrvp0xK1/Zk0EV2Ig7et50N+iDnTuoZ1wA3o3yJ41QaHDgs9DhR1VP70/waBef6&#10;UE8fVZXa4+Wwbl2aNKf9qNTTYxK/gfC0+Xv41j5qBXu4Xgk3QB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3qLaW8AAAA&#10;2gAAAA8AAAAAAAAAAQAgAAAAIgAAAGRycy9kb3ducmV2LnhtbFBLAQIUABQAAAAIAIdO4kAzLwWe&#10;OwAAADkAAAAQAAAAAAAAAAEAIAAAAAsBAABkcnMvc2hhcGV4bWwueG1sUEsFBgAAAAAGAAYAWwEA&#10;ALUDAAAAAA==&#10;">
                  <v:fill on="f" focussize="0,0"/>
                  <v:stroke weight="1.5pt" color="#FF0000" joinstyle="round"/>
                  <v:imagedata o:title=""/>
                  <o:lock v:ext="edit" aspectratio="f"/>
                </v:line>
              </v:group>
            </w:pict>
          </mc:Fallback>
        </mc:AlternateContent>
      </w:r>
      <w:r>
        <w:rPr>
          <w:rFonts w:hint="eastAsia" w:ascii="方正小标宋_GBK" w:hAnsi="方正小标宋_GBK" w:eastAsia="方正小标宋_GBK" w:cs="方正小标宋_GBK"/>
          <w:b w:val="0"/>
          <w:bCs w:val="0"/>
          <w:color w:val="FF0000"/>
          <w:sz w:val="72"/>
          <w:lang w:eastAsia="zh-CN"/>
        </w:rPr>
        <w:t>银川市兴庆区医疗保障局</w:t>
      </w:r>
    </w:p>
    <w:p>
      <w:pPr>
        <w:keepNext w:val="0"/>
        <w:keepLines w:val="0"/>
        <w:pageBreakBefore w:val="0"/>
        <w:widowControl w:val="0"/>
        <w:tabs>
          <w:tab w:val="left" w:pos="2240"/>
          <w:tab w:val="left" w:pos="2560"/>
          <w:tab w:val="left" w:pos="6400"/>
          <w:tab w:val="left" w:pos="6720"/>
        </w:tabs>
        <w:kinsoku/>
        <w:wordWrap/>
        <w:overflowPunct/>
        <w:topLinePunct w:val="0"/>
        <w:autoSpaceDE/>
        <w:autoSpaceDN/>
        <w:bidi w:val="0"/>
        <w:adjustRightInd/>
        <w:snapToGrid w:val="0"/>
        <w:spacing w:line="660" w:lineRule="exact"/>
        <w:jc w:val="center"/>
        <w:textAlignment w:val="baseline"/>
        <w:outlineLvl w:val="9"/>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lang w:val="en-US" w:eastAsia="zh-CN"/>
        </w:rPr>
        <w:t xml:space="preserve"> </w:t>
      </w:r>
      <w:r>
        <w:rPr>
          <w:rFonts w:hint="eastAsia" w:ascii="方正小标宋_GBK" w:hAnsi="方正小标宋_GBK" w:eastAsia="方正小标宋_GBK" w:cs="方正小标宋_GBK"/>
          <w:b w:val="0"/>
          <w:bCs w:val="0"/>
          <w:color w:val="auto"/>
          <w:sz w:val="44"/>
          <w:szCs w:val="44"/>
          <w:lang w:eastAsia="zh-CN"/>
        </w:rPr>
        <w:t>兴庆区医保局</w:t>
      </w:r>
      <w:r>
        <w:rPr>
          <w:rFonts w:hint="eastAsia" w:ascii="方正小标宋_GBK" w:hAnsi="方正小标宋_GBK" w:eastAsia="方正小标宋_GBK" w:cs="方正小标宋_GBK"/>
          <w:b w:val="0"/>
          <w:bCs w:val="0"/>
          <w:color w:val="auto"/>
          <w:sz w:val="44"/>
          <w:szCs w:val="44"/>
        </w:rPr>
        <w:t>202</w:t>
      </w:r>
      <w:r>
        <w:rPr>
          <w:rFonts w:hint="eastAsia" w:ascii="方正小标宋_GBK" w:hAnsi="方正小标宋_GBK" w:eastAsia="方正小标宋_GBK" w:cs="方正小标宋_GBK"/>
          <w:b w:val="0"/>
          <w:bCs w:val="0"/>
          <w:color w:val="auto"/>
          <w:sz w:val="44"/>
          <w:szCs w:val="44"/>
          <w:lang w:val="en-US" w:eastAsia="zh-CN"/>
        </w:rPr>
        <w:t>3</w:t>
      </w:r>
      <w:r>
        <w:rPr>
          <w:rFonts w:hint="eastAsia" w:ascii="方正小标宋_GBK" w:hAnsi="方正小标宋_GBK" w:eastAsia="方正小标宋_GBK" w:cs="方正小标宋_GBK"/>
          <w:b w:val="0"/>
          <w:bCs w:val="0"/>
          <w:color w:val="auto"/>
          <w:sz w:val="44"/>
          <w:szCs w:val="44"/>
        </w:rPr>
        <w:t>年</w:t>
      </w:r>
    </w:p>
    <w:p>
      <w:pPr>
        <w:keepNext w:val="0"/>
        <w:keepLines w:val="0"/>
        <w:pageBreakBefore w:val="0"/>
        <w:widowControl w:val="0"/>
        <w:kinsoku/>
        <w:wordWrap/>
        <w:overflowPunct/>
        <w:topLinePunct w:val="0"/>
        <w:autoSpaceDE/>
        <w:autoSpaceDN/>
        <w:bidi w:val="0"/>
        <w:adjustRightInd/>
        <w:snapToGrid w:val="0"/>
        <w:spacing w:line="660" w:lineRule="exact"/>
        <w:jc w:val="center"/>
        <w:textAlignment w:val="auto"/>
        <w:rPr>
          <w:rFonts w:hint="eastAsia" w:ascii="方正小标宋_GBK" w:hAnsi="方正小标宋_GBK" w:eastAsia="方正小标宋_GBK" w:cs="方正小标宋_GBK"/>
          <w:b w:val="0"/>
          <w:bCs w:val="0"/>
          <w:color w:val="auto"/>
          <w:sz w:val="44"/>
          <w:szCs w:val="44"/>
          <w:lang w:eastAsia="zh-CN"/>
        </w:rPr>
      </w:pPr>
      <w:r>
        <w:rPr>
          <w:rFonts w:hint="eastAsia" w:ascii="方正小标宋_GBK" w:hAnsi="方正小标宋_GBK" w:eastAsia="方正小标宋_GBK" w:cs="方正小标宋_GBK"/>
          <w:b w:val="0"/>
          <w:bCs w:val="0"/>
          <w:color w:val="auto"/>
          <w:sz w:val="44"/>
          <w:szCs w:val="44"/>
          <w:lang w:val="en-US" w:eastAsia="zh-CN"/>
        </w:rPr>
        <w:t xml:space="preserve"> </w:t>
      </w:r>
      <w:r>
        <w:rPr>
          <w:rFonts w:hint="eastAsia" w:ascii="方正小标宋_GBK" w:hAnsi="方正小标宋_GBK" w:eastAsia="方正小标宋_GBK" w:cs="方正小标宋_GBK"/>
          <w:b w:val="0"/>
          <w:bCs w:val="0"/>
          <w:color w:val="auto"/>
          <w:sz w:val="44"/>
          <w:szCs w:val="44"/>
        </w:rPr>
        <w:t>医疗保障基金监管工作</w:t>
      </w:r>
      <w:r>
        <w:rPr>
          <w:rFonts w:hint="eastAsia" w:ascii="方正小标宋_GBK" w:hAnsi="方正小标宋_GBK" w:eastAsia="方正小标宋_GBK" w:cs="方正小标宋_GBK"/>
          <w:b w:val="0"/>
          <w:bCs w:val="0"/>
          <w:color w:val="auto"/>
          <w:sz w:val="44"/>
          <w:szCs w:val="44"/>
          <w:lang w:eastAsia="zh-CN"/>
        </w:rPr>
        <w:t>计划</w:t>
      </w:r>
    </w:p>
    <w:p>
      <w:pPr>
        <w:keepNext w:val="0"/>
        <w:keepLines w:val="0"/>
        <w:pageBreakBefore w:val="0"/>
        <w:widowControl w:val="0"/>
        <w:tabs>
          <w:tab w:val="left" w:pos="2240"/>
          <w:tab w:val="left" w:pos="2560"/>
          <w:tab w:val="left" w:pos="6400"/>
          <w:tab w:val="left" w:pos="6720"/>
        </w:tabs>
        <w:kinsoku/>
        <w:wordWrap/>
        <w:overflowPunct/>
        <w:topLinePunct w:val="0"/>
        <w:autoSpaceDE/>
        <w:autoSpaceDN/>
        <w:bidi w:val="0"/>
        <w:adjustRightInd/>
        <w:snapToGrid w:val="0"/>
        <w:spacing w:line="600" w:lineRule="exact"/>
        <w:ind w:firstLine="640" w:firstLineChars="200"/>
        <w:jc w:val="both"/>
        <w:textAlignment w:val="baseline"/>
        <w:outlineLvl w:val="9"/>
        <w:rPr>
          <w:rFonts w:hint="eastAsia" w:ascii="仿宋" w:hAnsi="仿宋" w:eastAsia="仿宋" w:cs="仿宋"/>
          <w:kern w:val="0"/>
          <w:sz w:val="32"/>
          <w:szCs w:val="32"/>
          <w:lang w:val="en-US" w:eastAsia="zh-CN" w:bidi="ar"/>
        </w:rPr>
      </w:pPr>
    </w:p>
    <w:p>
      <w:pPr>
        <w:keepNext w:val="0"/>
        <w:keepLines w:val="0"/>
        <w:pageBreakBefore w:val="0"/>
        <w:widowControl w:val="0"/>
        <w:tabs>
          <w:tab w:val="left" w:pos="2240"/>
          <w:tab w:val="left" w:pos="2560"/>
          <w:tab w:val="left" w:pos="6400"/>
          <w:tab w:val="left" w:pos="6720"/>
        </w:tabs>
        <w:kinsoku/>
        <w:wordWrap/>
        <w:overflowPunct/>
        <w:topLinePunct w:val="0"/>
        <w:autoSpaceDE/>
        <w:autoSpaceDN/>
        <w:bidi w:val="0"/>
        <w:adjustRightInd/>
        <w:snapToGrid w:val="0"/>
        <w:spacing w:line="560" w:lineRule="exact"/>
        <w:ind w:firstLine="640" w:firstLineChars="200"/>
        <w:jc w:val="both"/>
        <w:textAlignment w:val="baseline"/>
        <w:outlineLvl w:val="9"/>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为深入贯彻落实党的二十大精神，组织实施医保基金监管安全规范年活动，持续加大监管力度，切实守护医疗保障基金安全，根据《自治区医保局关于做好2023年全区医疗</w:t>
      </w:r>
    </w:p>
    <w:p>
      <w:pPr>
        <w:keepNext w:val="0"/>
        <w:keepLines w:val="0"/>
        <w:pageBreakBefore w:val="0"/>
        <w:widowControl w:val="0"/>
        <w:tabs>
          <w:tab w:val="left" w:pos="2240"/>
          <w:tab w:val="left" w:pos="2560"/>
          <w:tab w:val="left" w:pos="6400"/>
          <w:tab w:val="left" w:pos="6720"/>
        </w:tabs>
        <w:kinsoku/>
        <w:wordWrap/>
        <w:overflowPunct/>
        <w:topLinePunct w:val="0"/>
        <w:autoSpaceDE/>
        <w:autoSpaceDN/>
        <w:bidi w:val="0"/>
        <w:adjustRightInd/>
        <w:snapToGrid w:val="0"/>
        <w:spacing w:line="560" w:lineRule="exact"/>
        <w:jc w:val="both"/>
        <w:textAlignment w:val="baseline"/>
        <w:outlineLvl w:val="9"/>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保障基金监管工作的通知》（宁医保函〔2023〕1号）精神，现制定兴庆区医疗保障局2023年医疗保障基金监管工作计划。</w:t>
      </w:r>
    </w:p>
    <w:p>
      <w:pPr>
        <w:pStyle w:val="4"/>
        <w:keepNext w:val="0"/>
        <w:keepLines w:val="0"/>
        <w:pageBreakBefore w:val="0"/>
        <w:numPr>
          <w:ilvl w:val="0"/>
          <w:numId w:val="0"/>
        </w:numPr>
        <w:kinsoku/>
        <w:wordWrap/>
        <w:overflowPunct/>
        <w:topLinePunct w:val="0"/>
        <w:autoSpaceDE/>
        <w:autoSpaceDN/>
        <w:bidi w:val="0"/>
        <w:adjustRightInd/>
        <w:spacing w:line="560" w:lineRule="exact"/>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 xml:space="preserve">    一、加大“法治医保”宣传教育力度</w:t>
      </w:r>
    </w:p>
    <w:p>
      <w:pPr>
        <w:keepNext w:val="0"/>
        <w:keepLines w:val="0"/>
        <w:pageBreakBefore w:val="0"/>
        <w:widowControl w:val="0"/>
        <w:tabs>
          <w:tab w:val="left" w:pos="2240"/>
          <w:tab w:val="left" w:pos="2560"/>
          <w:tab w:val="left" w:pos="6400"/>
          <w:tab w:val="left" w:pos="6720"/>
        </w:tabs>
        <w:kinsoku/>
        <w:wordWrap/>
        <w:overflowPunct/>
        <w:topLinePunct w:val="0"/>
        <w:autoSpaceDE/>
        <w:autoSpaceDN/>
        <w:bidi w:val="0"/>
        <w:adjustRightInd/>
        <w:snapToGrid w:val="0"/>
        <w:spacing w:line="560" w:lineRule="exact"/>
        <w:ind w:firstLine="643" w:firstLineChars="200"/>
        <w:jc w:val="both"/>
        <w:textAlignment w:val="baseline"/>
        <w:outlineLvl w:val="9"/>
        <w:rPr>
          <w:rFonts w:hint="default" w:ascii="仿宋" w:hAnsi="仿宋" w:eastAsia="仿宋" w:cs="仿宋"/>
          <w:kern w:val="0"/>
          <w:sz w:val="32"/>
          <w:szCs w:val="32"/>
          <w:lang w:val="en-US" w:eastAsia="zh-CN" w:bidi="ar"/>
        </w:rPr>
      </w:pPr>
      <w:r>
        <w:rPr>
          <w:rFonts w:hint="eastAsia" w:ascii="仿宋" w:hAnsi="仿宋" w:eastAsia="仿宋" w:cs="仿宋"/>
          <w:b/>
          <w:bCs/>
          <w:kern w:val="0"/>
          <w:sz w:val="32"/>
          <w:szCs w:val="32"/>
          <w:lang w:val="en-US" w:eastAsia="zh-CN" w:bidi="ar"/>
        </w:rPr>
        <w:t>一是开展多种形式“基金监管集中宣传月”活动。</w:t>
      </w:r>
      <w:r>
        <w:rPr>
          <w:rFonts w:hint="eastAsia" w:ascii="仿宋" w:hAnsi="仿宋" w:eastAsia="仿宋" w:cs="仿宋"/>
          <w:b w:val="0"/>
          <w:bCs w:val="0"/>
          <w:kern w:val="0"/>
          <w:sz w:val="32"/>
          <w:szCs w:val="32"/>
          <w:lang w:val="en-US" w:eastAsia="zh-CN" w:bidi="ar"/>
        </w:rPr>
        <w:t>深入开展医保基金政策培训班、医保政策“六进”宣讲、</w:t>
      </w:r>
      <w:r>
        <w:rPr>
          <w:rFonts w:hint="eastAsia" w:ascii="仿宋" w:hAnsi="仿宋" w:eastAsia="仿宋" w:cs="仿宋"/>
          <w:kern w:val="0"/>
          <w:sz w:val="32"/>
          <w:szCs w:val="32"/>
          <w:lang w:val="en-US" w:eastAsia="zh-CN" w:bidi="ar"/>
        </w:rPr>
        <w:t>“三比三促”能力大提升系列活动，召开“基金监管集中宣传月”启动会、基金监管部门</w:t>
      </w:r>
      <w:r>
        <w:rPr>
          <w:rFonts w:hint="eastAsia" w:ascii="仿宋" w:hAnsi="仿宋" w:eastAsia="仿宋" w:cs="仿宋"/>
          <w:b w:val="0"/>
          <w:bCs w:val="0"/>
          <w:kern w:val="0"/>
          <w:sz w:val="32"/>
          <w:szCs w:val="32"/>
          <w:lang w:val="en-US" w:eastAsia="zh-CN" w:bidi="ar"/>
        </w:rPr>
        <w:t>联席会议</w:t>
      </w:r>
      <w:r>
        <w:rPr>
          <w:rFonts w:hint="eastAsia" w:ascii="仿宋" w:hAnsi="仿宋" w:eastAsia="仿宋" w:cs="仿宋"/>
          <w:kern w:val="0"/>
          <w:sz w:val="32"/>
          <w:szCs w:val="32"/>
          <w:lang w:val="en-US" w:eastAsia="zh-CN" w:bidi="ar"/>
        </w:rPr>
        <w:t>，加强对《条例》等医保基金监管相关法律法规和政策措施的深入解读和系统宣传。</w:t>
      </w:r>
      <w:r>
        <w:rPr>
          <w:rFonts w:hint="eastAsia" w:ascii="仿宋" w:hAnsi="仿宋" w:eastAsia="仿宋" w:cs="仿宋"/>
          <w:b/>
          <w:bCs/>
          <w:kern w:val="0"/>
          <w:sz w:val="32"/>
          <w:szCs w:val="32"/>
          <w:lang w:val="en-US" w:eastAsia="zh-CN" w:bidi="ar"/>
        </w:rPr>
        <w:t>二是实施医保基金监管干部培训全覆盖行动。</w:t>
      </w:r>
      <w:r>
        <w:rPr>
          <w:rFonts w:hint="eastAsia" w:ascii="仿宋" w:hAnsi="仿宋" w:eastAsia="仿宋" w:cs="仿宋"/>
          <w:kern w:val="0"/>
          <w:sz w:val="32"/>
          <w:szCs w:val="32"/>
          <w:lang w:val="en-US" w:eastAsia="zh-CN" w:bidi="ar"/>
        </w:rPr>
        <w:t>重点加强对《条例》、《医疗保障行政处罚程序暂行规定》、医疗保障行政处罚裁量基准、廉政教育等内容的培训</w:t>
      </w:r>
      <w:bookmarkStart w:id="0" w:name="_GoBack"/>
      <w:bookmarkEnd w:id="0"/>
      <w:r>
        <w:rPr>
          <w:rFonts w:hint="eastAsia" w:ascii="仿宋" w:hAnsi="仿宋" w:eastAsia="仿宋" w:cs="仿宋"/>
          <w:kern w:val="0"/>
          <w:sz w:val="32"/>
          <w:szCs w:val="32"/>
          <w:lang w:val="en-US" w:eastAsia="zh-CN" w:bidi="ar"/>
        </w:rPr>
        <w:t>。集中展示打击欺诈骗保工作成果，宣传曝光典型案例，用好正反两方面典型，提升全社会守法意识。</w:t>
      </w:r>
      <w:r>
        <w:rPr>
          <w:rFonts w:hint="eastAsia" w:ascii="仿宋" w:hAnsi="仿宋" w:eastAsia="仿宋" w:cs="仿宋"/>
          <w:b/>
          <w:bCs/>
          <w:kern w:val="0"/>
          <w:sz w:val="32"/>
          <w:szCs w:val="32"/>
          <w:lang w:val="en-US" w:eastAsia="zh-CN" w:bidi="ar"/>
        </w:rPr>
        <w:t>三是扩大“法治医保”宣传途径。</w:t>
      </w:r>
      <w:r>
        <w:rPr>
          <w:rFonts w:hint="eastAsia" w:ascii="仿宋" w:hAnsi="仿宋" w:eastAsia="仿宋" w:cs="仿宋"/>
          <w:kern w:val="0"/>
          <w:sz w:val="32"/>
          <w:szCs w:val="32"/>
          <w:lang w:val="en-US" w:eastAsia="zh-CN" w:bidi="ar"/>
        </w:rPr>
        <w:t>通过聘请专业律师每个季度开展法制讲座、周例会上交流研讨、问卷调查，试题测试、印制宣传彩页等线上线下全方位、多角度的宣传形式提高大家对医保政策的知晓率。</w:t>
      </w:r>
    </w:p>
    <w:p>
      <w:pPr>
        <w:pStyle w:val="4"/>
        <w:keepNext w:val="0"/>
        <w:keepLines w:val="0"/>
        <w:pageBreakBefore w:val="0"/>
        <w:numPr>
          <w:ilvl w:val="0"/>
          <w:numId w:val="0"/>
        </w:numPr>
        <w:tabs>
          <w:tab w:val="left" w:pos="1041"/>
        </w:tabs>
        <w:kinsoku/>
        <w:wordWrap/>
        <w:overflowPunct/>
        <w:topLinePunct w:val="0"/>
        <w:autoSpaceDE/>
        <w:autoSpaceDN/>
        <w:bidi w:val="0"/>
        <w:adjustRightInd/>
        <w:spacing w:line="560" w:lineRule="exact"/>
        <w:ind w:firstLine="640" w:firstLineChars="200"/>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二、进一步建立健全监管执法体系</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41"/>
        <w:jc w:val="both"/>
        <w:textAlignment w:val="auto"/>
        <w:rPr>
          <w:rFonts w:hint="eastAsia" w:ascii="仿宋" w:hAnsi="仿宋" w:eastAsia="仿宋" w:cs="仿宋"/>
          <w:kern w:val="0"/>
          <w:sz w:val="32"/>
          <w:szCs w:val="32"/>
          <w:lang w:val="en-US" w:eastAsia="zh-CN" w:bidi="ar"/>
        </w:rPr>
      </w:pPr>
      <w:r>
        <w:rPr>
          <w:rFonts w:hint="eastAsia" w:ascii="仿宋_GB2312" w:hAnsi="Calibri" w:eastAsia="仿宋_GB2312" w:cs="仿宋_GB2312"/>
          <w:b/>
          <w:bCs/>
          <w:kern w:val="0"/>
          <w:sz w:val="32"/>
          <w:szCs w:val="32"/>
          <w:lang w:val="en-US" w:eastAsia="zh-CN" w:bidi="ar"/>
        </w:rPr>
        <w:t>一是建立健全监督检查制度。</w:t>
      </w:r>
      <w:r>
        <w:rPr>
          <w:rFonts w:hint="eastAsia" w:ascii="仿宋" w:hAnsi="仿宋" w:eastAsia="仿宋" w:cs="仿宋"/>
          <w:kern w:val="0"/>
          <w:sz w:val="32"/>
          <w:szCs w:val="32"/>
          <w:lang w:val="en-US" w:eastAsia="zh-CN" w:bidi="ar"/>
        </w:rPr>
        <w:t>完善违法违规使用医保基金举报奖励实施细则，加大典型案例曝光力度，对符合条件的举报人员实行“重奖”，依法依规保护举报人信息；完善医保基金社会监督员机制，对选聘的社会监督员开展常态化培训，拓展社会监督渠道，形成长效社会监督机制；全面施行医保日常监管、联合监管、信用监管、和自律监管为主的“四位一体”医保基金监管机制，实现定点医疗机构监督检查全覆盖；建立医保、卫健、市场监管、药品监管、审计、公安等多部门的医保基金监管联动机制，加强信息共享与联合执法。</w:t>
      </w:r>
      <w:r>
        <w:rPr>
          <w:rFonts w:hint="eastAsia" w:ascii="仿宋_GB2312" w:hAnsi="Calibri" w:eastAsia="仿宋_GB2312" w:cs="仿宋_GB2312"/>
          <w:b/>
          <w:bCs/>
          <w:kern w:val="0"/>
          <w:sz w:val="32"/>
          <w:szCs w:val="32"/>
          <w:lang w:val="en-US" w:eastAsia="zh-CN" w:bidi="ar"/>
        </w:rPr>
        <w:t>二是</w:t>
      </w:r>
      <w:r>
        <w:rPr>
          <w:rFonts w:hint="default" w:ascii="仿宋_GB2312" w:hAnsi="Calibri" w:eastAsia="仿宋_GB2312" w:cs="仿宋_GB2312"/>
          <w:b/>
          <w:bCs/>
          <w:kern w:val="0"/>
          <w:sz w:val="32"/>
          <w:szCs w:val="32"/>
          <w:lang w:val="en-US" w:eastAsia="zh-CN" w:bidi="ar"/>
        </w:rPr>
        <w:t>打好打击欺诈骗取医保基金</w:t>
      </w:r>
      <w:r>
        <w:rPr>
          <w:rFonts w:hint="eastAsia" w:ascii="仿宋_GB2312" w:hAnsi="Calibri" w:eastAsia="仿宋_GB2312" w:cs="仿宋_GB2312"/>
          <w:b/>
          <w:bCs/>
          <w:kern w:val="0"/>
          <w:sz w:val="32"/>
          <w:szCs w:val="32"/>
          <w:lang w:val="en-US" w:eastAsia="zh-CN" w:bidi="ar"/>
        </w:rPr>
        <w:t>“</w:t>
      </w:r>
      <w:r>
        <w:rPr>
          <w:rFonts w:hint="default" w:ascii="仿宋_GB2312" w:hAnsi="Calibri" w:eastAsia="仿宋_GB2312" w:cs="仿宋_GB2312"/>
          <w:b/>
          <w:bCs/>
          <w:kern w:val="0"/>
          <w:sz w:val="32"/>
          <w:szCs w:val="32"/>
          <w:lang w:val="en-US" w:eastAsia="zh-CN" w:bidi="ar"/>
        </w:rPr>
        <w:t>主动战</w:t>
      </w:r>
      <w:r>
        <w:rPr>
          <w:rFonts w:hint="eastAsia" w:ascii="仿宋_GB2312" w:hAnsi="Calibri" w:eastAsia="仿宋_GB2312" w:cs="仿宋_GB2312"/>
          <w:b/>
          <w:bCs/>
          <w:kern w:val="0"/>
          <w:sz w:val="32"/>
          <w:szCs w:val="32"/>
          <w:lang w:val="en-US" w:eastAsia="zh-CN" w:bidi="ar"/>
        </w:rPr>
        <w:t>”</w:t>
      </w:r>
      <w:r>
        <w:rPr>
          <w:rFonts w:hint="default" w:ascii="仿宋_GB2312" w:hAnsi="Calibri" w:eastAsia="仿宋_GB2312" w:cs="仿宋_GB2312"/>
          <w:b/>
          <w:bCs/>
          <w:kern w:val="0"/>
          <w:sz w:val="32"/>
          <w:szCs w:val="32"/>
          <w:lang w:val="en-US" w:eastAsia="zh-CN" w:bidi="ar"/>
        </w:rPr>
        <w:t>。</w:t>
      </w:r>
      <w:r>
        <w:rPr>
          <w:rFonts w:hint="default" w:ascii="仿宋" w:hAnsi="仿宋" w:eastAsia="仿宋" w:cs="仿宋"/>
          <w:color w:val="auto"/>
          <w:kern w:val="0"/>
          <w:sz w:val="32"/>
          <w:szCs w:val="32"/>
          <w:lang w:val="en-US" w:eastAsia="zh-CN" w:bidi="ar"/>
        </w:rPr>
        <w:t>紧扣推进基金监管制度体系改革，着力构建不敢骗、不想骗、不能骗的基金安全防控机制，全面落实</w:t>
      </w:r>
      <w:r>
        <w:rPr>
          <w:rFonts w:hint="eastAsia" w:ascii="仿宋" w:hAnsi="仿宋" w:eastAsia="仿宋" w:cs="仿宋"/>
          <w:color w:val="auto"/>
          <w:kern w:val="0"/>
          <w:sz w:val="32"/>
          <w:szCs w:val="32"/>
          <w:lang w:val="en-US" w:eastAsia="zh-CN" w:bidi="ar"/>
        </w:rPr>
        <w:t>兴庆区</w:t>
      </w:r>
      <w:r>
        <w:rPr>
          <w:rFonts w:hint="default" w:ascii="仿宋" w:hAnsi="仿宋" w:eastAsia="仿宋" w:cs="仿宋"/>
          <w:color w:val="auto"/>
          <w:kern w:val="0"/>
          <w:sz w:val="32"/>
          <w:szCs w:val="32"/>
          <w:lang w:val="en-US" w:eastAsia="zh-CN" w:bidi="ar"/>
        </w:rPr>
        <w:t>《医疗保障基金监管制度体系改革实施方案》。</w:t>
      </w:r>
      <w:r>
        <w:rPr>
          <w:rFonts w:hint="eastAsia" w:ascii="仿宋" w:hAnsi="仿宋" w:eastAsia="仿宋" w:cs="仿宋"/>
          <w:kern w:val="0"/>
          <w:sz w:val="32"/>
          <w:szCs w:val="32"/>
          <w:lang w:val="en-US" w:eastAsia="zh-CN" w:bidi="ar"/>
        </w:rPr>
        <w:t>建立健全医疗保障信用管理制度，实施分级分类监管。持续开展打击诈骗医保基金专项整治工作，探索重点领域精准打击与源头治理。打赢基金监管“持久战”，深入开展打击欺诈骗保套保挪用贪占医保基金集中整治“回头看”，做好“后半篇文章”，实现问题清零，建立长效机制。</w:t>
      </w:r>
      <w:r>
        <w:rPr>
          <w:rFonts w:hint="eastAsia" w:ascii="仿宋_GB2312" w:hAnsi="Calibri" w:eastAsia="仿宋_GB2312" w:cs="仿宋_GB2312"/>
          <w:b/>
          <w:bCs/>
          <w:kern w:val="0"/>
          <w:sz w:val="32"/>
          <w:szCs w:val="32"/>
          <w:lang w:val="en-US" w:eastAsia="zh-CN" w:bidi="ar"/>
        </w:rPr>
        <w:t>三是增强两定机构管理能力。</w:t>
      </w:r>
      <w:r>
        <w:rPr>
          <w:rFonts w:hint="eastAsia" w:ascii="仿宋" w:hAnsi="仿宋" w:eastAsia="仿宋" w:cs="仿宋"/>
          <w:kern w:val="0"/>
          <w:sz w:val="32"/>
          <w:szCs w:val="32"/>
          <w:lang w:val="en-US" w:eastAsia="zh-CN" w:bidi="ar"/>
        </w:rPr>
        <w:t>打造“三线工作法”，通过筑牢管理线、理顺服务线、强化提升线，加强对定点药店管理。制定定点医药机构“负面清单”和“服务清单”，强化医疗费用审核，实行 “人工抽查+第三方机构+全覆盖监督”的审核模式，通过考核评价发现不足，督促两定机构及时改进，提升医保服务质量</w:t>
      </w:r>
      <w:r>
        <w:rPr>
          <w:rFonts w:hint="eastAsia" w:ascii="仿宋_GB2312" w:hAnsi="Calibri" w:eastAsia="仿宋_GB2312" w:cs="仿宋_GB2312"/>
          <w:kern w:val="0"/>
          <w:sz w:val="32"/>
          <w:szCs w:val="32"/>
          <w:lang w:val="en-US" w:eastAsia="zh-CN" w:bidi="ar"/>
        </w:rPr>
        <w:t>。</w:t>
      </w:r>
    </w:p>
    <w:p>
      <w:pPr>
        <w:pStyle w:val="4"/>
        <w:keepNext w:val="0"/>
        <w:keepLines w:val="0"/>
        <w:pageBreakBefore w:val="0"/>
        <w:numPr>
          <w:ilvl w:val="0"/>
          <w:numId w:val="0"/>
        </w:numPr>
        <w:kinsoku/>
        <w:wordWrap/>
        <w:overflowPunct/>
        <w:topLinePunct w:val="0"/>
        <w:autoSpaceDE/>
        <w:autoSpaceDN/>
        <w:bidi w:val="0"/>
        <w:adjustRightInd/>
        <w:spacing w:line="560" w:lineRule="exact"/>
        <w:ind w:firstLine="640" w:firstLineChars="200"/>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三、强化基金监管，坚决筑牢医保基金安全防线</w:t>
      </w:r>
    </w:p>
    <w:p>
      <w:pPr>
        <w:keepNext w:val="0"/>
        <w:keepLines w:val="0"/>
        <w:pageBreakBefore w:val="0"/>
        <w:widowControl w:val="0"/>
        <w:numPr>
          <w:ilvl w:val="0"/>
          <w:numId w:val="0"/>
        </w:numPr>
        <w:tabs>
          <w:tab w:val="left" w:pos="2240"/>
          <w:tab w:val="left" w:pos="2560"/>
          <w:tab w:val="left" w:pos="6400"/>
          <w:tab w:val="left" w:pos="6720"/>
        </w:tabs>
        <w:kinsoku/>
        <w:wordWrap/>
        <w:overflowPunct/>
        <w:topLinePunct w:val="0"/>
        <w:autoSpaceDE/>
        <w:autoSpaceDN/>
        <w:bidi w:val="0"/>
        <w:adjustRightInd/>
        <w:snapToGrid w:val="0"/>
        <w:spacing w:line="560" w:lineRule="exact"/>
        <w:ind w:firstLine="643" w:firstLineChars="200"/>
        <w:jc w:val="both"/>
        <w:textAlignment w:val="baseline"/>
        <w:outlineLvl w:val="9"/>
        <w:rPr>
          <w:rFonts w:hint="eastAsia" w:ascii="仿宋" w:hAnsi="仿宋" w:eastAsia="仿宋" w:cs="仿宋"/>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一是基金监管全覆盖。</w:t>
      </w:r>
      <w:r>
        <w:rPr>
          <w:rFonts w:hint="eastAsia" w:ascii="仿宋" w:hAnsi="仿宋" w:eastAsia="仿宋" w:cs="仿宋"/>
          <w:kern w:val="0"/>
          <w:sz w:val="32"/>
          <w:szCs w:val="32"/>
          <w:lang w:val="en-US" w:eastAsia="zh-CN" w:bidi="ar"/>
        </w:rPr>
        <w:t>2023年将集中专门力量，采取“双随机、一公开”即在监管过程中随机抽取检查对象，随机选派执法检查人员，抽查情况以及查处结果及时向社会公开的方式，对辖区内定点医药机构进行全覆盖式检查，并综合运用飞行检查，专家审查，举报调查等方式，将医疗保障基金支付全部纳入事后审查范围，并向快加快向事中拦截和事前提醒延伸，实现定点医药机构现场检查全覆盖。</w:t>
      </w:r>
      <w:r>
        <w:rPr>
          <w:rFonts w:hint="eastAsia" w:ascii="仿宋_GB2312" w:hAnsi="仿宋_GB2312" w:eastAsia="仿宋_GB2312" w:cs="仿宋_GB2312"/>
          <w:b/>
          <w:bCs/>
          <w:kern w:val="0"/>
          <w:sz w:val="32"/>
          <w:szCs w:val="32"/>
          <w:lang w:val="en-US" w:eastAsia="zh-CN" w:bidi="ar"/>
        </w:rPr>
        <w:t>二是突出打击重点。</w:t>
      </w:r>
      <w:r>
        <w:rPr>
          <w:rFonts w:hint="eastAsia" w:ascii="仿宋_GB2312" w:hAnsi="Calibri" w:eastAsia="仿宋_GB2312" w:cs="仿宋_GB2312"/>
          <w:kern w:val="0"/>
          <w:sz w:val="32"/>
          <w:szCs w:val="32"/>
          <w:lang w:val="en-US" w:eastAsia="zh-CN" w:bidi="ar"/>
        </w:rPr>
        <w:t>严格落实打击虚构门诊大病病情套取医保基金“百日专项整治行动”，重点聚焦“假本子、假病情、倒卖药品、违规套现、超范围、乱开药”等整治内容，建立“自查+督查+复查”检查机制，不断提高门诊大病监管的广度和深度。</w:t>
      </w:r>
      <w:r>
        <w:rPr>
          <w:rFonts w:hint="eastAsia" w:ascii="仿宋" w:hAnsi="仿宋" w:eastAsia="仿宋" w:cs="仿宋"/>
          <w:kern w:val="0"/>
          <w:sz w:val="32"/>
          <w:szCs w:val="32"/>
          <w:lang w:val="en-US" w:eastAsia="zh-CN" w:bidi="ar"/>
        </w:rPr>
        <w:t>针对不同监管对象多发高发的违规行为特点，聚焦重点，分类打击，对应施策。针对定点医药机构，进一步按照其服务特点确定监管重点。对辖区内医疗机构重点查处分解收费、超标准收费、重复收费、套用项目收费、耗材、盗刷医保卡等不合理诊疗及挂床住院、串换药品等违法违规行为。针对零售药店重点查取、聚敛、盗刷社保卡，诱导参保人购买化妆品、生活用品等行为。针对参保人重点查取伪造书、虚假票据报销、冒名就医，使用医保卡套现或套取药品、耗材倒卖等行为。</w:t>
      </w:r>
      <w:r>
        <w:rPr>
          <w:rFonts w:hint="eastAsia" w:ascii="仿宋_GB2312" w:hAnsi="仿宋_GB2312" w:eastAsia="仿宋_GB2312" w:cs="仿宋_GB2312"/>
          <w:b/>
          <w:bCs/>
          <w:kern w:val="0"/>
          <w:sz w:val="32"/>
          <w:szCs w:val="32"/>
          <w:lang w:val="en-US" w:eastAsia="zh-CN" w:bidi="ar"/>
        </w:rPr>
        <w:t>三是加强协议管理。</w:t>
      </w:r>
      <w:r>
        <w:rPr>
          <w:rFonts w:hint="eastAsia" w:ascii="仿宋" w:hAnsi="仿宋" w:eastAsia="仿宋" w:cs="仿宋"/>
          <w:kern w:val="0"/>
          <w:sz w:val="32"/>
          <w:szCs w:val="32"/>
          <w:lang w:val="en-US" w:eastAsia="zh-CN" w:bidi="ar"/>
        </w:rPr>
        <w:t>采取现场检查与非现场检查、人工检查与智能监控、事先告知与突击检查相结合的方式，全方位开展对定点医药机构履行协议情况的检查稽核，严格审核费用，规范初审、复审两级审核机制，通过智能监控等手段实行医疗费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leftChars="0" w:right="0" w:rightChars="0" w:firstLine="640" w:firstLineChars="200"/>
        <w:jc w:val="both"/>
        <w:textAlignment w:val="auto"/>
        <w:rPr>
          <w:rFonts w:hint="eastAsia" w:ascii="黑体" w:hAnsi="黑体" w:eastAsia="黑体" w:cs="黑体"/>
          <w:b/>
          <w:bCs/>
          <w:sz w:val="32"/>
          <w:szCs w:val="32"/>
        </w:rPr>
      </w:pP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lang w:eastAsia="zh-CN"/>
        </w:rPr>
        <w:t>、持续</w:t>
      </w:r>
      <w:r>
        <w:rPr>
          <w:rFonts w:hint="eastAsia" w:ascii="黑体" w:hAnsi="黑体" w:eastAsia="黑体" w:cs="黑体"/>
          <w:b w:val="0"/>
          <w:bCs w:val="0"/>
          <w:sz w:val="32"/>
          <w:szCs w:val="32"/>
        </w:rPr>
        <w:t>推进“互联网+医保”服务</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仿宋" w:hAnsi="仿宋" w:eastAsia="仿宋" w:cs="仿宋"/>
          <w:kern w:val="0"/>
          <w:sz w:val="32"/>
          <w:szCs w:val="32"/>
          <w:lang w:val="en-US" w:eastAsia="zh-CN" w:bidi="ar"/>
        </w:rPr>
      </w:pPr>
      <w:r>
        <w:rPr>
          <w:rFonts w:hint="eastAsia" w:ascii="仿宋_GB2312" w:hAnsi="仿宋_GB2312" w:eastAsia="仿宋_GB2312" w:cs="仿宋_GB2312"/>
          <w:b/>
          <w:bCs/>
          <w:sz w:val="32"/>
          <w:szCs w:val="32"/>
          <w:lang w:val="en-US" w:eastAsia="zh-CN"/>
        </w:rPr>
        <w:t>一是探索“互联网+第三方+基金监管”新模式。</w:t>
      </w:r>
      <w:r>
        <w:rPr>
          <w:rFonts w:hint="eastAsia" w:ascii="仿宋" w:hAnsi="仿宋" w:eastAsia="仿宋" w:cs="仿宋"/>
          <w:kern w:val="0"/>
          <w:sz w:val="32"/>
          <w:szCs w:val="32"/>
          <w:lang w:val="en-US" w:eastAsia="zh-CN" w:bidi="ar"/>
        </w:rPr>
        <w:t>建立专项检查机制，严厉打击违法违规行为，定期邀请相关部门与第三方对四家乡镇卫生院和定点零售药店进行现场稽核，加强药品进、销、存台账管理，完善监管措施，对违规行为依法依规严肃处理，并按规定移交相关部门实施联合惩戒。通过普法宣传、专家讲堂、媒体宣传、畅通监督举报渠道等形式，解读医保法规政策，曝光欺诈骗保典型案件，建立医保基金监管社会监督员队伍，及时收集社会各界对医保基金监管方面的意见建议，构建人人参与、社会共治的良好氛围。</w:t>
      </w:r>
      <w:r>
        <w:rPr>
          <w:rFonts w:hint="eastAsia" w:ascii="仿宋_GB2312" w:hAnsi="仿宋_GB2312" w:eastAsia="仿宋_GB2312" w:cs="仿宋_GB2312"/>
          <w:b/>
          <w:bCs/>
          <w:sz w:val="32"/>
          <w:szCs w:val="32"/>
          <w:lang w:val="en-US" w:eastAsia="zh-CN"/>
        </w:rPr>
        <w:t>二是打造“15分钟医保服务圈”。</w:t>
      </w:r>
      <w:r>
        <w:rPr>
          <w:rFonts w:hint="eastAsia" w:ascii="仿宋" w:hAnsi="仿宋" w:eastAsia="仿宋" w:cs="仿宋"/>
          <w:kern w:val="0"/>
          <w:sz w:val="32"/>
          <w:szCs w:val="32"/>
          <w:lang w:val="en-US" w:eastAsia="zh-CN" w:bidi="ar"/>
        </w:rPr>
        <w:t>我局将建立城乡全域覆盖、24小时全时运转、线上线下全态服务的医保服务新体系。拟前移服务窗口，外联银行实现银医合作，着力打造“15分钟服务圈”、“家门口就医服务圈”，将医保参保登记、关系转移、停保终保及异地就医备案、费用报销等高频医保业务下沉至服务点，搬到群众“家门口”，切实打通医保服务群众的“最后一公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下一步兴庆区医保局将认真履职、主动作为，持续发扬奋发向上，扎实肯干的医保精神，依法办事、依法从业，以“四强”能力作风建设年活动为抓手，加大基金监管宣传力度，坚决筑牢医保基金安全防线，营造全民共护的医保基金安全氛围。</w:t>
      </w:r>
    </w:p>
    <w:p>
      <w:pPr>
        <w:pStyle w:val="2"/>
        <w:keepNext w:val="0"/>
        <w:keepLines w:val="0"/>
        <w:pageBreakBefore w:val="0"/>
        <w:kinsoku/>
        <w:wordWrap/>
        <w:overflowPunct/>
        <w:topLinePunct w:val="0"/>
        <w:autoSpaceDE/>
        <w:autoSpaceDN/>
        <w:bidi w:val="0"/>
        <w:adjustRightInd/>
        <w:spacing w:line="560" w:lineRule="exact"/>
        <w:rPr>
          <w:rFonts w:hint="eastAsia" w:ascii="仿宋" w:hAnsi="仿宋" w:eastAsia="仿宋" w:cs="仿宋"/>
          <w:kern w:val="0"/>
          <w:sz w:val="32"/>
          <w:szCs w:val="32"/>
          <w:lang w:val="en-US" w:eastAsia="zh-CN" w:bidi="ar"/>
        </w:rPr>
      </w:pPr>
    </w:p>
    <w:p>
      <w:pPr>
        <w:pStyle w:val="2"/>
        <w:keepNext w:val="0"/>
        <w:keepLines w:val="0"/>
        <w:pageBreakBefore w:val="0"/>
        <w:kinsoku/>
        <w:wordWrap/>
        <w:overflowPunct/>
        <w:topLinePunct w:val="0"/>
        <w:autoSpaceDE/>
        <w:autoSpaceDN/>
        <w:bidi w:val="0"/>
        <w:adjustRightInd/>
        <w:spacing w:line="560" w:lineRule="exact"/>
        <w:rPr>
          <w:rFonts w:hint="eastAsia" w:ascii="仿宋" w:hAnsi="仿宋" w:eastAsia="仿宋" w:cs="仿宋"/>
          <w:kern w:val="0"/>
          <w:sz w:val="32"/>
          <w:szCs w:val="32"/>
          <w:lang w:val="en-US" w:eastAsia="zh-CN" w:bidi="ar"/>
        </w:rPr>
      </w:pPr>
    </w:p>
    <w:p>
      <w:pPr>
        <w:pStyle w:val="2"/>
        <w:keepNext w:val="0"/>
        <w:keepLines w:val="0"/>
        <w:pageBreakBefore w:val="0"/>
        <w:kinsoku/>
        <w:wordWrap/>
        <w:overflowPunct/>
        <w:topLinePunct w:val="0"/>
        <w:autoSpaceDE/>
        <w:autoSpaceDN/>
        <w:bidi w:val="0"/>
        <w:adjustRightInd/>
        <w:spacing w:line="560" w:lineRule="exact"/>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 xml:space="preserve">                        银川市兴庆区医疗保障局</w:t>
      </w:r>
    </w:p>
    <w:p>
      <w:pPr>
        <w:pStyle w:val="2"/>
        <w:keepNext w:val="0"/>
        <w:keepLines w:val="0"/>
        <w:pageBreakBefore w:val="0"/>
        <w:kinsoku/>
        <w:wordWrap/>
        <w:overflowPunct/>
        <w:topLinePunct w:val="0"/>
        <w:autoSpaceDE/>
        <w:autoSpaceDN/>
        <w:bidi w:val="0"/>
        <w:adjustRightInd/>
        <w:spacing w:line="560" w:lineRule="exact"/>
        <w:rPr>
          <w:rFonts w:hint="default"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 xml:space="preserve">                            2023年3月1日</w:t>
      </w:r>
    </w:p>
    <w:p>
      <w:pPr>
        <w:keepNext w:val="0"/>
        <w:keepLines w:val="0"/>
        <w:pageBreakBefore w:val="0"/>
        <w:kinsoku/>
        <w:wordWrap/>
        <w:overflowPunct/>
        <w:topLinePunct w:val="0"/>
        <w:autoSpaceDE/>
        <w:autoSpaceDN/>
        <w:bidi w:val="0"/>
        <w:adjustRightInd/>
        <w:snapToGrid/>
        <w:spacing w:line="560" w:lineRule="exact"/>
        <w:textAlignment w:val="auto"/>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3MGE3NDA3MGY5YmZhMTA1OGRiMDJkNjIzNjE4NGMifQ=="/>
  </w:docVars>
  <w:rsids>
    <w:rsidRoot w:val="00000000"/>
    <w:rsid w:val="084E06D6"/>
    <w:rsid w:val="096316DD"/>
    <w:rsid w:val="096A3B93"/>
    <w:rsid w:val="0A76342A"/>
    <w:rsid w:val="0CAA61CA"/>
    <w:rsid w:val="0CCC1461"/>
    <w:rsid w:val="0D335069"/>
    <w:rsid w:val="0DCA1092"/>
    <w:rsid w:val="0FA67D74"/>
    <w:rsid w:val="106F1380"/>
    <w:rsid w:val="10707EFD"/>
    <w:rsid w:val="123D55B6"/>
    <w:rsid w:val="12412F69"/>
    <w:rsid w:val="146D70B2"/>
    <w:rsid w:val="1850222C"/>
    <w:rsid w:val="190B03DB"/>
    <w:rsid w:val="195C14A3"/>
    <w:rsid w:val="19C217D6"/>
    <w:rsid w:val="1A3B5A60"/>
    <w:rsid w:val="1CCB6888"/>
    <w:rsid w:val="205B24B5"/>
    <w:rsid w:val="20EC135F"/>
    <w:rsid w:val="228757E3"/>
    <w:rsid w:val="23847F75"/>
    <w:rsid w:val="27F76F67"/>
    <w:rsid w:val="27FF406E"/>
    <w:rsid w:val="280D0308"/>
    <w:rsid w:val="2C8368AA"/>
    <w:rsid w:val="2D225820"/>
    <w:rsid w:val="2D4269AE"/>
    <w:rsid w:val="2F3C7302"/>
    <w:rsid w:val="33087972"/>
    <w:rsid w:val="336B25B7"/>
    <w:rsid w:val="354E000B"/>
    <w:rsid w:val="35761CE6"/>
    <w:rsid w:val="38547C0B"/>
    <w:rsid w:val="3972526B"/>
    <w:rsid w:val="3C2C71D0"/>
    <w:rsid w:val="3C5E0F0B"/>
    <w:rsid w:val="3DAA0180"/>
    <w:rsid w:val="3F764C84"/>
    <w:rsid w:val="3FCC6AD3"/>
    <w:rsid w:val="404D19C2"/>
    <w:rsid w:val="413D6362"/>
    <w:rsid w:val="427B0074"/>
    <w:rsid w:val="42812AB8"/>
    <w:rsid w:val="428216CB"/>
    <w:rsid w:val="42AE0712"/>
    <w:rsid w:val="442A2839"/>
    <w:rsid w:val="45C344D5"/>
    <w:rsid w:val="469320F9"/>
    <w:rsid w:val="46C5158B"/>
    <w:rsid w:val="48AF1CD1"/>
    <w:rsid w:val="48E924A4"/>
    <w:rsid w:val="4E3917D8"/>
    <w:rsid w:val="4F90367A"/>
    <w:rsid w:val="522307D5"/>
    <w:rsid w:val="59701E26"/>
    <w:rsid w:val="5A8D7133"/>
    <w:rsid w:val="5CBF10FA"/>
    <w:rsid w:val="5CEC0714"/>
    <w:rsid w:val="5DC46D35"/>
    <w:rsid w:val="62330EBD"/>
    <w:rsid w:val="62A274F4"/>
    <w:rsid w:val="630428CD"/>
    <w:rsid w:val="63BA261B"/>
    <w:rsid w:val="64C00105"/>
    <w:rsid w:val="661D6509"/>
    <w:rsid w:val="66612F2A"/>
    <w:rsid w:val="67BF6452"/>
    <w:rsid w:val="6CDF4C96"/>
    <w:rsid w:val="6D5E2269"/>
    <w:rsid w:val="6E276AFF"/>
    <w:rsid w:val="6F1A495A"/>
    <w:rsid w:val="72A526E9"/>
    <w:rsid w:val="73BB6FD8"/>
    <w:rsid w:val="73F73418"/>
    <w:rsid w:val="74055B35"/>
    <w:rsid w:val="742C1313"/>
    <w:rsid w:val="750214CD"/>
    <w:rsid w:val="77C30FE5"/>
    <w:rsid w:val="780F5618"/>
    <w:rsid w:val="7A516120"/>
    <w:rsid w:val="7CF130FA"/>
    <w:rsid w:val="7DFB18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4">
    <w:name w:val="table of authorities"/>
    <w:basedOn w:val="1"/>
    <w:next w:val="1"/>
    <w:qFormat/>
    <w:uiPriority w:val="0"/>
    <w:pPr>
      <w:ind w:left="420" w:leftChars="200"/>
    </w:pPr>
    <w:rPr>
      <w:rFonts w:ascii="Times New Roman" w:hAnsi="Times New Roman" w:eastAsia="仿宋_GB2312" w:cs="Times New Roman"/>
      <w:sz w:val="32"/>
      <w:szCs w:val="24"/>
    </w:rPr>
  </w:style>
  <w:style w:type="paragraph" w:styleId="5">
    <w:name w:val="index 5"/>
    <w:basedOn w:val="1"/>
    <w:next w:val="1"/>
    <w:qFormat/>
    <w:uiPriority w:val="0"/>
    <w:pPr>
      <w:ind w:left="1680"/>
    </w:pPr>
  </w:style>
  <w:style w:type="paragraph" w:styleId="6">
    <w:name w:val="Body Text Indent"/>
    <w:basedOn w:val="1"/>
    <w:next w:val="5"/>
    <w:qFormat/>
    <w:uiPriority w:val="0"/>
    <w:pPr>
      <w:spacing w:after="120"/>
      <w:ind w:left="420" w:leftChars="200"/>
    </w:p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2"/>
    <w:basedOn w:val="6"/>
    <w:next w:val="1"/>
    <w:qFormat/>
    <w:uiPriority w:val="0"/>
    <w:pPr>
      <w:ind w:firstLine="420" w:firstLineChars="200"/>
    </w:pPr>
  </w:style>
  <w:style w:type="paragraph" w:customStyle="1" w:styleId="11">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2276</Words>
  <Characters>2297</Characters>
  <Lines>0</Lines>
  <Paragraphs>0</Paragraphs>
  <TotalTime>30</TotalTime>
  <ScaleCrop>false</ScaleCrop>
  <LinksUpToDate>false</LinksUpToDate>
  <CharactersWithSpaces>2356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2023-03-07T06:30:23Z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67192B9914014963909231F6069DC4FB</vt:lpwstr>
  </property>
</Properties>
</file>