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OLE_LINK1"/>
    </w:p>
    <w:p w14:paraId="547C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兴庆区掌政镇洼路村北典农城研学</w:t>
      </w:r>
    </w:p>
    <w:p w14:paraId="7D3E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绩效自评报告</w:t>
      </w:r>
    </w:p>
    <w:bookmarkEnd w:id="0"/>
    <w:p w14:paraId="5AC2CA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/>
        <w:textAlignment w:val="auto"/>
        <w:rPr>
          <w:rFonts w:hint="eastAsia" w:eastAsia="仿宋"/>
          <w:color w:val="auto"/>
          <w:sz w:val="32"/>
          <w:szCs w:val="32"/>
        </w:rPr>
      </w:pPr>
    </w:p>
    <w:p w14:paraId="270C2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绩效目标分解下达情况</w:t>
      </w:r>
    </w:p>
    <w:p w14:paraId="6D1034E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after="0" w:afterLines="0" w:line="600" w:lineRule="exact"/>
        <w:ind w:firstLine="640" w:firstLineChars="200"/>
        <w:textAlignment w:val="auto"/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为全面贯彻落实乡村振兴战略，持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续巩固拓展脱贫攻坚成果同乡村振兴有效</w:t>
      </w:r>
      <w:r>
        <w:rPr>
          <w:rFonts w:hint="eastAsia" w:cs="Times New Roman"/>
          <w:sz w:val="32"/>
          <w:szCs w:val="32"/>
          <w:lang w:eastAsia="zh-CN"/>
        </w:rPr>
        <w:t>衔接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，加快村级集体经济发展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不断提升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党组织的向心力和凝聚力，带动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致富增收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/>
          <w:sz w:val="32"/>
          <w:lang w:val="en-US" w:eastAsia="zh-CN"/>
        </w:rPr>
        <w:t>兴庆区</w:t>
      </w:r>
      <w:r>
        <w:rPr>
          <w:rFonts w:hint="eastAsia" w:hAnsi="Times New Roman"/>
          <w:sz w:val="32"/>
          <w:lang w:val="en-US" w:eastAsia="zh-CN"/>
        </w:rPr>
        <w:t>掌政镇</w:t>
      </w:r>
      <w:r>
        <w:rPr>
          <w:rFonts w:hint="eastAsia" w:ascii="Times New Roman" w:hAnsi="Times New Roman"/>
          <w:sz w:val="32"/>
          <w:lang w:val="en-US" w:eastAsia="zh-CN"/>
        </w:rPr>
        <w:t>根据资金使用方向，分解下达绩效目标要求，绩效目标如下：</w:t>
      </w:r>
    </w:p>
    <w:tbl>
      <w:tblPr>
        <w:tblStyle w:val="5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32"/>
        <w:gridCol w:w="1375"/>
        <w:gridCol w:w="4000"/>
        <w:gridCol w:w="1425"/>
      </w:tblGrid>
      <w:tr w14:paraId="5A9A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50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绩效指标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一级指标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37F7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二级指标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三级指标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98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指标值</w:t>
            </w:r>
          </w:p>
        </w:tc>
      </w:tr>
      <w:tr w14:paraId="11EF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A9B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产出指标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数量指标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套成品太空舱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</w:t>
            </w:r>
            <w:r>
              <w:rPr>
                <w:rStyle w:val="10"/>
                <w:lang w:val="en-US" w:eastAsia="zh-CN" w:bidi="ar"/>
              </w:rPr>
              <w:t>套</w:t>
            </w:r>
          </w:p>
        </w:tc>
      </w:tr>
      <w:tr w14:paraId="485A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DE9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0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质量指标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指标1：项目验收合格率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79D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14C2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219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A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时效指标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指标1：项目完成时限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74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</w:t>
            </w:r>
          </w:p>
        </w:tc>
      </w:tr>
      <w:tr w14:paraId="58DA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2CC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0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A042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2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指标2：资金支付率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2B7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658B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D71D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D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成本指标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指标1：资金投入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0D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1331.48万元</w:t>
            </w:r>
          </w:p>
        </w:tc>
      </w:tr>
      <w:tr w14:paraId="1CF8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08F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效益指标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经济效益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1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指标1：带动周边农村地区的旅游相关产业协同发展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≥100</w:t>
            </w:r>
            <w:r>
              <w:rPr>
                <w:rStyle w:val="11"/>
                <w:lang w:val="en-US" w:eastAsia="zh-CN" w:bidi="ar"/>
              </w:rPr>
              <w:t>万元</w:t>
            </w:r>
          </w:p>
        </w:tc>
      </w:tr>
      <w:tr w14:paraId="7F19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120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2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社会效益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指标1：提升整体接待能力和服务水平，增强游客的旅游体验感和满意度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CB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明显改善</w:t>
            </w:r>
          </w:p>
        </w:tc>
      </w:tr>
      <w:tr w14:paraId="6218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1B4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248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生态效益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A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指标1：加强生态环境建设和保护，合理规划建筑布局和绿化景观，实现民俗村旅游发展与生态环境保护的协调共进。打造绿色生态典范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明显改善</w:t>
            </w:r>
          </w:p>
        </w:tc>
      </w:tr>
      <w:tr w14:paraId="1E61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CC5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B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可持续影响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指标1：增加农户农产品的市场竞争力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长期促进</w:t>
            </w:r>
          </w:p>
        </w:tc>
      </w:tr>
      <w:tr w14:paraId="5EC2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BCD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满意度指标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服务对象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满意度指标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指标1：受益群众满意率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</w:tr>
    </w:tbl>
    <w:p w14:paraId="52C571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二、绩效目标完成情况分析</w:t>
      </w:r>
    </w:p>
    <w:p w14:paraId="1ADAE1E1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（一）资金投入情况分析。</w:t>
      </w:r>
    </w:p>
    <w:p w14:paraId="2B5CB9FF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  <w:t>1.项目资金到位情况分析。</w:t>
      </w:r>
    </w:p>
    <w:p w14:paraId="54E486D1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2025年自治区乡村振兴局巩固拓展脱贫攻坚成果和推进乡村振兴资金685万元指标全部到位，资金到位率51%。</w:t>
      </w:r>
    </w:p>
    <w:p w14:paraId="24CF8F23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  <w:t>2.项目资金执行情况分析。</w:t>
      </w:r>
    </w:p>
    <w:p w14:paraId="06F33AFF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2025年资金指标下达1331.48万元，已支付685万元，资金执行率51%。</w:t>
      </w:r>
    </w:p>
    <w:p w14:paraId="7817BBC8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  <w:t>3.项目资金管理情况分析。</w:t>
      </w:r>
    </w:p>
    <w:p w14:paraId="47A4A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仿宋_GB2312"/>
          <w:b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eastAsia="zh-CN"/>
        </w:rPr>
        <w:t>掌政镇人民政府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eastAsia="zh-CN"/>
        </w:rPr>
        <w:t>严格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eastAsia="zh-CN"/>
        </w:rPr>
        <w:t>按照衔接资金使用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eastAsia="zh-CN"/>
        </w:rPr>
        <w:t>要求，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eastAsia="zh-CN"/>
        </w:rPr>
        <w:t>将衔接资金用于壮大村集体和提高脱贫户发展生产增收上，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项目资金使用时不得用于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/>
        </w:rPr>
        <w:t>单位基本支出、交通工具及通讯设备购置支出、修建楼堂馆所、发放各种工资奖金津贴和福利性补助、防止返贫监测预警工作经费、偿还债务本息和垫资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等与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/>
        </w:rPr>
        <w:t>巩固拓展脱贫攻坚成果和推进乡村振兴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无关的支出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/>
        </w:rPr>
        <w:t>。</w:t>
      </w:r>
    </w:p>
    <w:p w14:paraId="11171864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总体绩效目标完成情况分析</w:t>
      </w:r>
    </w:p>
    <w:p w14:paraId="12E113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项目总占地约20亩，购置1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套成品太空舱，建设室外水电外网、花岗岩铺装及渠道砌护等室外配套工程建设。</w:t>
      </w:r>
    </w:p>
    <w:p w14:paraId="626F0D66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绩效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  <w:lang w:eastAsia="zh-CN"/>
        </w:rPr>
        <w:t>目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标完成情况分析。</w:t>
      </w:r>
    </w:p>
    <w:p w14:paraId="49EC2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1、产出指标完成情况分析</w:t>
      </w:r>
    </w:p>
    <w:p w14:paraId="207E3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（1）数量指标</w:t>
      </w:r>
    </w:p>
    <w:p w14:paraId="2141D8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项目总占地约20亩，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购置1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套成品太空舱，建设室外水电外网、花岗岩铺装及渠道砌护等室外配套工程建设。</w:t>
      </w:r>
    </w:p>
    <w:p w14:paraId="2074A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）质量指标</w:t>
      </w:r>
    </w:p>
    <w:p w14:paraId="31240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 w:bidi="ar-SA"/>
        </w:rPr>
        <w:t>无质量问题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4990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）时效指标</w:t>
      </w:r>
    </w:p>
    <w:p w14:paraId="6EDFF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default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2025年6月25日开工，2025年11月15日竣工。</w:t>
      </w:r>
    </w:p>
    <w:p w14:paraId="14446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）成本指标</w:t>
      </w:r>
    </w:p>
    <w:p w14:paraId="76695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 w:bidi="ar-SA"/>
        </w:rPr>
        <w:t>已支付</w:t>
      </w:r>
      <w:r>
        <w:rPr>
          <w:rFonts w:hint="eastAsia" w:cs="仿宋_GB2312"/>
          <w:snapToGrid/>
          <w:color w:val="auto"/>
          <w:kern w:val="2"/>
          <w:sz w:val="32"/>
          <w:szCs w:val="32"/>
          <w:lang w:val="en-US" w:eastAsia="zh-CN" w:bidi="ar-SA"/>
        </w:rPr>
        <w:t>685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 w:bidi="ar-SA"/>
        </w:rPr>
        <w:t>万元，至</w:t>
      </w:r>
      <w:r>
        <w:rPr>
          <w:rFonts w:hint="eastAsia" w:cs="仿宋_GB2312"/>
          <w:snapToGrid/>
          <w:color w:val="auto"/>
          <w:kern w:val="2"/>
          <w:sz w:val="32"/>
          <w:szCs w:val="32"/>
          <w:lang w:val="en-US" w:eastAsia="zh-CN" w:bidi="ar-SA"/>
        </w:rPr>
        <w:t>合同金额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cs="仿宋_GB2312"/>
          <w:snapToGrid/>
          <w:color w:val="auto"/>
          <w:kern w:val="2"/>
          <w:sz w:val="32"/>
          <w:szCs w:val="32"/>
          <w:lang w:val="en-US" w:eastAsia="zh-CN" w:bidi="ar-SA"/>
        </w:rPr>
        <w:t>51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A5F5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2、效益指标完成情况分析</w:t>
      </w:r>
    </w:p>
    <w:p w14:paraId="7F695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（1）经济效益</w:t>
      </w:r>
    </w:p>
    <w:p w14:paraId="1A2EF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带动周边农村地区的旅游相关产业协同发展</w:t>
      </w:r>
      <w:r>
        <w:rPr>
          <w:rFonts w:hint="eastAsia" w:cs="仿宋_GB2312"/>
          <w:snapToGrid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A70D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（2）社会效益</w:t>
      </w:r>
    </w:p>
    <w:p w14:paraId="28BE4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提升整体接待能力和服务水平，增强游客的旅游体验感和满意度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 w14:paraId="77589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（3）生态效益</w:t>
      </w:r>
    </w:p>
    <w:p w14:paraId="16228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加强生态环境建设和保护，合理规划建筑布局和绿化景观，实现民俗村旅游发展与生态环境保护的协调共进。打造绿色生态典范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 w14:paraId="654C1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（4）可持续影响</w:t>
      </w:r>
    </w:p>
    <w:p w14:paraId="5D06808A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增加农户农产品的市场竞争力</w:t>
      </w:r>
    </w:p>
    <w:p w14:paraId="64AD71CC">
      <w:pPr>
        <w:pStyle w:val="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黑体_GBK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绩效自评结果拟应用和公开情况</w:t>
      </w:r>
    </w:p>
    <w:p w14:paraId="449C59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/>
        <w:textAlignment w:val="auto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该项目已完工，绩效目标已实现。将由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项目实施单位及项目区村委会对照绩效管理内容和具体指标，开展自评工作，对每一项指标进行定量打分, 形成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绩效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自评报告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便在门户网站进行公开，接受社会监督。</w:t>
      </w:r>
    </w:p>
    <w:p w14:paraId="4C5D5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</w:t>
      </w:r>
    </w:p>
    <w:p w14:paraId="70985E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55EB45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/>
        <w:textAlignment w:val="auto"/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 xml:space="preserve">                         兴庆区掌政镇人民政府</w:t>
      </w:r>
    </w:p>
    <w:p w14:paraId="532B5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202</w:t>
      </w:r>
      <w:r>
        <w:rPr>
          <w:rFonts w:hint="default" w:cs="仿宋_GB2312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</w:t>
      </w:r>
    </w:p>
    <w:p w14:paraId="5C213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仿宋_GB2312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F50E6"/>
    <w:rsid w:val="0BDC6D23"/>
    <w:rsid w:val="15043248"/>
    <w:rsid w:val="25C12DBA"/>
    <w:rsid w:val="27201D62"/>
    <w:rsid w:val="29995DFC"/>
    <w:rsid w:val="2A30050E"/>
    <w:rsid w:val="444F7D1F"/>
    <w:rsid w:val="505A77E4"/>
    <w:rsid w:val="563F50E6"/>
    <w:rsid w:val="5A981634"/>
    <w:rsid w:val="5F4678B1"/>
    <w:rsid w:val="6CD209D6"/>
    <w:rsid w:val="EFDFC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pacing w:line="300" w:lineRule="auto"/>
      <w:ind w:firstLine="420"/>
      <w:textAlignment w:val="auto"/>
    </w:pPr>
    <w:rPr>
      <w:kern w:val="2"/>
      <w:sz w:val="2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customStyle="1" w:styleId="7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  <w:style w:type="character" w:customStyle="1" w:styleId="8">
    <w:name w:val="font2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0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1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2025-12-16T14:42:00Z</dcterms:created>
  <dc:creator>WPS_1696906848</dc:creator>
  <cp:lastModifiedBy>综合办高鹏</cp:lastModifiedBy>
  <dcterms:modified xsi:type="dcterms:W3CDTF">2026-02-06T17:18:17Z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0D6A4D7D2F824F62AA3E9AFE97DF3F1C_11</vt:lpwstr>
  </property>
  <property fmtid="{D5CDD505-2E9C-101B-9397-08002B2CF9AE}" pid="4" name="KSOTemplateDocerSaveRecord">
    <vt:lpwstr>eyJoZGlkIjoiYzMzNGNjMmJlYTg2NmYzODQyZjEwYzk2ZDQwZTNmYTIiLCJ1c2VySWQiOiIxNTQ4ODkxNTAwIn0=</vt:lpwstr>
  </property>
</Properties>
</file>