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2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87"/>
        <w:gridCol w:w="1975"/>
        <w:gridCol w:w="2132"/>
        <w:gridCol w:w="4763"/>
        <w:gridCol w:w="1358"/>
        <w:gridCol w:w="2767"/>
        <w:gridCol w:w="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0" w:type="dxa"/>
          <w:trHeight w:val="645" w:hRule="atLeast"/>
        </w:trPr>
        <w:tc>
          <w:tcPr>
            <w:tcW w:w="13982" w:type="dxa"/>
            <w:gridSpan w:val="6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2017年农田水利基本建设重点治理区域分布表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0" w:type="dxa"/>
          <w:trHeight w:val="9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县市名称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重点治理区域</w:t>
            </w: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具体地点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治理规模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治理类型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0" w:type="dxa"/>
          <w:trHeight w:val="137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兴庆区通贵乡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司家桥片区</w:t>
            </w: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东起永通路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西至惠农渠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，北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银东干沟</w:t>
            </w:r>
            <w:bookmarkStart w:id="0" w:name="_GoBack"/>
            <w:bookmarkEnd w:id="0"/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万亩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高标准农田建设 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（国土项目）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0" w:type="dxa"/>
          <w:trHeight w:val="1448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河滩片区</w:t>
            </w: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滨河大道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西至永通路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南至北京路，北至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黄羊沟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万亩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高标准农田建设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中低产田改造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0.1万亩）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0" w:type="dxa"/>
          <w:trHeight w:val="1310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通西片区</w:t>
            </w: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通昌交界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西至惠农渠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南至通西路，北起岗渠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0.2万亩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高标准农田建设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40" w:type="dxa"/>
          <w:trHeight w:val="1407" w:hRule="atLeast"/>
        </w:trPr>
        <w:tc>
          <w:tcPr>
            <w:tcW w:w="98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通贵片区</w:t>
            </w: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滨河大道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西至民生渠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南至洼涝路，北至贺兰山路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0.5万亩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高标准农田建设0.25万亩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中低产田改造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0.25万亩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7" w:hRule="atLeast"/>
        </w:trPr>
        <w:tc>
          <w:tcPr>
            <w:tcW w:w="29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0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bottom"/>
          </w:tcPr>
          <w:p>
            <w:pPr>
              <w:rPr>
                <w:rFonts w:hint="eastAsi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E3291"/>
    <w:rsid w:val="2A5E3291"/>
    <w:rsid w:val="683B74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2017-12-25T08:33:00Z</dcterms:created>
  <dc:creator>我的文档</dc:creator>
  <cp:lastModifiedBy>我的文档</cp:lastModifiedBy>
  <dcterms:modified xsi:type="dcterms:W3CDTF">2017-12-25T08:36:39Z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