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2017年</w:t>
      </w:r>
      <w:r>
        <w:rPr>
          <w:rFonts w:hint="eastAsia" w:ascii="宋体" w:hAnsi="宋体" w:eastAsia="宋体" w:cs="宋体"/>
          <w:b/>
          <w:sz w:val="36"/>
          <w:szCs w:val="36"/>
        </w:rPr>
        <w:t>农田水利基本建设考核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细则</w:t>
      </w:r>
    </w:p>
    <w:p>
      <w:pPr>
        <w:spacing w:line="600" w:lineRule="exact"/>
        <w:ind w:left="0" w:leftChars="0" w:right="0" w:rightChars="0" w:firstLine="0" w:firstLineChars="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eastAsia="黑体"/>
          <w:lang w:eastAsia="zh-CN"/>
        </w:rPr>
        <w:t>单位名称：</w:t>
      </w:r>
      <w:r>
        <w:rPr>
          <w:rFonts w:hint="eastAsia" w:ascii="黑体" w:eastAsia="黑体"/>
        </w:rPr>
        <w:t xml:space="preserve">             </w:t>
      </w:r>
      <w:r>
        <w:rPr>
          <w:rFonts w:hint="eastAsia" w:ascii="黑体" w:eastAsia="黑体"/>
          <w:lang w:val="en-US" w:eastAsia="zh-CN"/>
        </w:rPr>
        <w:t xml:space="preserve">      </w:t>
      </w:r>
      <w:r>
        <w:rPr>
          <w:rFonts w:hint="eastAsia" w:ascii="黑体" w:eastAsia="黑体"/>
        </w:rPr>
        <w:t xml:space="preserve">  </w:t>
      </w:r>
    </w:p>
    <w:tbl>
      <w:tblPr>
        <w:tblStyle w:val="3"/>
        <w:tblW w:w="148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70"/>
        <w:gridCol w:w="741"/>
        <w:gridCol w:w="2294"/>
        <w:gridCol w:w="877"/>
        <w:gridCol w:w="764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来源单位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绩效考评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指标名称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对象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关键性量化指标或关键事件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7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细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则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得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8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兴庆区农建办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农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田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镇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组织部署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报送《乡、镇秋季农田基本建设安排意见》，并内容全面、安排合理的得4分，否则根据具体情况减分。没有《乡、镇秋季农田基本建设安排意见》得0分。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及时召开乡、村动员会的得1.5分，否则得0分。现场有宣传标语、彩旗、广播等宣传设施的得1.5分，否则得0分。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信息报送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及时向指挥部报送信息的得3分，每年不少于10期,否则得0分。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春季小农水工程完成情况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各乡镇投资</w:t>
            </w:r>
            <w:r>
              <w:rPr>
                <w:rFonts w:hint="eastAsia" w:ascii="宋体"/>
                <w:sz w:val="24"/>
                <w:lang w:eastAsia="zh-CN"/>
              </w:rPr>
              <w:t>小农水工程建设资金</w:t>
            </w:r>
            <w:r>
              <w:rPr>
                <w:rFonts w:hint="eastAsia" w:ascii="宋体"/>
                <w:sz w:val="24"/>
              </w:rPr>
              <w:t>的百分比×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分</w:t>
            </w:r>
            <w:r>
              <w:rPr>
                <w:rFonts w:hint="eastAsia" w:ascii="宋体"/>
                <w:sz w:val="24"/>
                <w:lang w:eastAsia="zh-CN"/>
              </w:rPr>
              <w:t>，（最高得</w:t>
            </w:r>
            <w:r>
              <w:rPr>
                <w:rFonts w:hint="eastAsia" w:ascii="宋体"/>
                <w:sz w:val="24"/>
                <w:lang w:val="en-US" w:eastAsia="zh-CN"/>
              </w:rPr>
              <w:t>6分，最低</w:t>
            </w:r>
            <w:r>
              <w:rPr>
                <w:rFonts w:hint="eastAsia" w:ascii="宋体"/>
                <w:sz w:val="24"/>
                <w:lang w:eastAsia="zh-CN"/>
              </w:rPr>
              <w:t>得</w:t>
            </w:r>
            <w:r>
              <w:rPr>
                <w:rFonts w:hint="eastAsia" w:ascii="宋体"/>
                <w:sz w:val="24"/>
                <w:lang w:val="en-US" w:eastAsia="zh-CN"/>
              </w:rPr>
              <w:t>0分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高标准农田建设</w:t>
            </w:r>
          </w:p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任务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完成任务面积2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分,每少500亩扣1分。实际完成的任务必须经检查组人员核实，且质量合格，否则不计入实际完成任务。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高标准农田建设</w:t>
            </w:r>
          </w:p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质量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沟道：1、沟道深度、开口宽度、堤顶宽度等几何尺寸符合标准要求的得5分，否则视具体情况减分；2、边坡符合标准且坡面、堤顶平顺，线条平直的得5分，否则视具体情况减分。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渠道深度、开口宽度、堤顶宽度等几何尺寸符合标准要求的得3分，否则视具体情况减分；边坡符合标准且坡面、堤顶平顺，线条平直的得2分，否则视具体情况减分。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道路高度、路面宽度等几何尺寸符合标准要求的得3分，否则视具体情况减分；</w:t>
            </w:r>
          </w:p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路面平整，线条顺直的得2分，否则视具体情况减分。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秋翻地（其中机深翻</w:t>
            </w:r>
            <w:r>
              <w:rPr>
                <w:rFonts w:hint="eastAsia" w:ascii="宋体"/>
                <w:sz w:val="24"/>
                <w:lang w:eastAsia="zh-CN"/>
              </w:rPr>
              <w:t>、机深松</w:t>
            </w:r>
            <w:r>
              <w:rPr>
                <w:rFonts w:hint="eastAsia" w:ascii="宋体"/>
                <w:sz w:val="24"/>
              </w:rPr>
              <w:t>90%）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秋翻地（含机深翻</w:t>
            </w:r>
            <w:r>
              <w:rPr>
                <w:rFonts w:hint="eastAsia" w:ascii="宋体"/>
                <w:sz w:val="24"/>
                <w:lang w:eastAsia="zh-CN"/>
              </w:rPr>
              <w:t>、机深松</w:t>
            </w:r>
            <w:r>
              <w:rPr>
                <w:rFonts w:hint="eastAsia" w:ascii="宋体"/>
                <w:sz w:val="24"/>
              </w:rPr>
              <w:t>）连片面积完成得10分，晾晒后圆盘耙切割平整得3分，打田埂得2分。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秋施肥</w:t>
            </w:r>
            <w:r>
              <w:rPr>
                <w:rFonts w:hint="eastAsia" w:ascii="宋体"/>
                <w:sz w:val="24"/>
                <w:lang w:eastAsia="zh-CN"/>
              </w:rPr>
              <w:t>及</w:t>
            </w:r>
            <w:r>
              <w:rPr>
                <w:rFonts w:hint="eastAsia" w:ascii="宋体"/>
                <w:sz w:val="24"/>
              </w:rPr>
              <w:t>秸杆还田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由检查验收组现场量测秋施肥</w:t>
            </w:r>
            <w:r>
              <w:rPr>
                <w:rFonts w:hint="eastAsia" w:ascii="宋体"/>
                <w:sz w:val="24"/>
                <w:lang w:eastAsia="zh-CN"/>
              </w:rPr>
              <w:t>、秸杆还田</w:t>
            </w:r>
            <w:r>
              <w:rPr>
                <w:rFonts w:hint="eastAsia" w:ascii="宋体"/>
                <w:sz w:val="24"/>
              </w:rPr>
              <w:t>面积÷政府下达面积×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分</w:t>
            </w: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秋季植树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10分</w:t>
            </w:r>
          </w:p>
        </w:tc>
        <w:tc>
          <w:tcPr>
            <w:tcW w:w="7644" w:type="dxa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造林地面积完成得3分；②林带高度、宽度等几何尺寸符合标准要求的得2分。③涂红刷白按完成任务的百分比×5分。</w:t>
            </w:r>
          </w:p>
        </w:tc>
        <w:tc>
          <w:tcPr>
            <w:tcW w:w="14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环境综合整治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5分</w:t>
            </w:r>
          </w:p>
        </w:tc>
        <w:tc>
          <w:tcPr>
            <w:tcW w:w="7644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both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项目区内沟、渠、田、林、路及相邻庄点环境卫生整治</w:t>
            </w:r>
          </w:p>
        </w:tc>
        <w:tc>
          <w:tcPr>
            <w:tcW w:w="14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控水节灌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5分</w:t>
            </w:r>
          </w:p>
        </w:tc>
        <w:tc>
          <w:tcPr>
            <w:tcW w:w="7644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both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实施压稻增旱调结构，农业用水不超指标，得</w:t>
            </w:r>
            <w:r>
              <w:rPr>
                <w:rFonts w:hint="eastAsia" w:ascii="宋体"/>
                <w:sz w:val="24"/>
                <w:lang w:val="en-US" w:eastAsia="zh-CN"/>
              </w:rPr>
              <w:t>5分，每超100万立方米扣1分。</w:t>
            </w:r>
          </w:p>
        </w:tc>
        <w:tc>
          <w:tcPr>
            <w:tcW w:w="14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秸杆利用及禁烧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6分</w:t>
            </w:r>
          </w:p>
        </w:tc>
        <w:tc>
          <w:tcPr>
            <w:tcW w:w="7644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both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秸杆回收利用无焚烧得</w:t>
            </w:r>
            <w:r>
              <w:rPr>
                <w:rFonts w:hint="eastAsia" w:ascii="宋体"/>
                <w:sz w:val="24"/>
                <w:lang w:val="en-US" w:eastAsia="zh-CN"/>
              </w:rPr>
              <w:t>6分，被相关部门通报1起扣1分。</w:t>
            </w:r>
          </w:p>
        </w:tc>
        <w:tc>
          <w:tcPr>
            <w:tcW w:w="1433" w:type="dxa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center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   计</w:t>
            </w:r>
          </w:p>
        </w:tc>
        <w:tc>
          <w:tcPr>
            <w:tcW w:w="87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100分</w:t>
            </w:r>
          </w:p>
        </w:tc>
        <w:tc>
          <w:tcPr>
            <w:tcW w:w="7644" w:type="dxa"/>
            <w:vAlign w:val="center"/>
          </w:tcPr>
          <w:p>
            <w:pPr>
              <w:spacing w:line="420" w:lineRule="exact"/>
              <w:jc w:val="both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b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6783" w:h="23757"/>
      <w:pgMar w:top="1440" w:right="1797" w:bottom="1440" w:left="1797" w:header="851" w:footer="992" w:gutter="0"/>
      <w:pgNumType w:fmt="numberInDash"/>
      <w:cols w:space="72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270CF"/>
    <w:rsid w:val="2C1270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2017-12-25T08:44:00Z</dcterms:created>
  <dc:creator>我的文档</dc:creator>
  <cp:lastModifiedBy>我的文档</cp:lastModifiedBy>
  <dcterms:modified xsi:type="dcterms:W3CDTF">2017-12-25T08:44:42Z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