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附件</w:t>
      </w:r>
      <w:r>
        <w:rPr>
          <w:rFonts w:hint="eastAsia" w:ascii="宋体" w:hAnsi="宋体" w:eastAsia="宋体" w:cs="宋体"/>
          <w:color w:val="auto"/>
          <w:sz w:val="32"/>
          <w:szCs w:val="32"/>
          <w:lang w:val="en-US" w:eastAsia="zh-CN"/>
        </w:rPr>
        <w:t>1</w:t>
      </w:r>
      <w:r>
        <w:rPr>
          <w:rFonts w:hint="eastAsia" w:ascii="宋体" w:hAnsi="宋体" w:eastAsia="宋体" w:cs="宋体"/>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eastAsia="黑体" w:cs="Times New Roman"/>
          <w:color w:val="auto"/>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宋体"/>
          <w:bCs/>
          <w:color w:val="auto"/>
          <w:sz w:val="44"/>
          <w:szCs w:val="44"/>
        </w:rPr>
      </w:pPr>
      <w:r>
        <w:rPr>
          <w:rFonts w:hint="eastAsia" w:ascii="黑体" w:eastAsia="黑体" w:cs="Times New Roman"/>
          <w:color w:val="auto"/>
          <w:szCs w:val="32"/>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-1059180</wp:posOffset>
                </wp:positionV>
                <wp:extent cx="5919470" cy="367030"/>
                <wp:effectExtent l="0" t="0" r="5080" b="13970"/>
                <wp:wrapNone/>
                <wp:docPr id="1" name="文本框 1"/>
                <wp:cNvGraphicFramePr/>
                <a:graphic xmlns:a="http://schemas.openxmlformats.org/drawingml/2006/main">
                  <a:graphicData uri="http://schemas.microsoft.com/office/word/2010/wordprocessingShape">
                    <wps:wsp>
                      <wps:cNvSpPr txBox="1"/>
                      <wps:spPr>
                        <a:xfrm>
                          <a:off x="0" y="0"/>
                          <a:ext cx="5919470" cy="36703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8.65pt;margin-top:-83.4pt;height:28.9pt;width:466.1pt;z-index:251659264;mso-width-relative:page;mso-height-relative:page;" fillcolor="#FFFFFF" filled="t" stroked="f" coordsize="21600,21600" o:gfxdata="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bKVYtgAAAAMAQAADwAAAAAAAAABACAAAAAiAAAAZHJzL2Rvd25yZXYu&#10;eG1sUEsBAhQAFAAAAAgAh07iQNtbkJPCAQAAdwMAAA4AAAAAAAAAAQAgAAAAJwEAAGRycy9lMm9E&#10;b2MueG1sUEsFBgAAAAAGAAYAWQEAAFsFAAAAAA==&#10;">
                <v:fill on="t" focussize="0,0"/>
                <v:stroke on="f"/>
                <v:imagedata o:title=""/>
                <o:lock v:ext="edit" aspectratio="f"/>
                <v:textbox>
                  <w:txbxContent>
                    <w:p>
                      <w:pPr>
                        <w:rPr>
                          <w:rFonts w:hint="eastAsia"/>
                        </w:rPr>
                      </w:pPr>
                    </w:p>
                  </w:txbxContent>
                </v:textbox>
              </v:shape>
            </w:pict>
          </mc:Fallback>
        </mc:AlternateContent>
      </w:r>
      <w:r>
        <w:rPr>
          <w:rFonts w:hint="eastAsia" w:ascii="方正小标宋简体" w:hAnsi="华文中宋" w:eastAsia="方正小标宋简体" w:cs="宋体"/>
          <w:bCs/>
          <w:color w:val="auto"/>
          <w:sz w:val="44"/>
          <w:szCs w:val="44"/>
        </w:rPr>
        <w:t>关于调整消防安全重点单位和有固定生产经营场所且具有一定规模的个体工商户界定标准的通知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eastAsia="黑体" w:cs="Times New Roman"/>
          <w:color w:val="auto"/>
          <w:sz w:val="32"/>
          <w:szCs w:val="32"/>
        </w:rPr>
      </w:pPr>
      <w:r>
        <w:rPr>
          <w:rFonts w:eastAsia="仿宋_GB2312" w:cs="Times New Roman"/>
          <w:color w:val="auto"/>
          <w:sz w:val="32"/>
          <w:szCs w:val="32"/>
        </w:rPr>
        <w:t>宁公</w:t>
      </w:r>
      <w:r>
        <w:rPr>
          <w:rFonts w:hint="eastAsia" w:eastAsia="仿宋_GB2312" w:cs="Times New Roman"/>
          <w:color w:val="auto"/>
          <w:sz w:val="32"/>
          <w:szCs w:val="32"/>
        </w:rPr>
        <w:t>通</w:t>
      </w:r>
      <w:r>
        <w:rPr>
          <w:rFonts w:eastAsia="仿宋_GB2312" w:cs="Times New Roman"/>
          <w:color w:val="auto"/>
          <w:sz w:val="32"/>
          <w:szCs w:val="32"/>
        </w:rPr>
        <w:t>〔2013〕</w:t>
      </w:r>
      <w:r>
        <w:rPr>
          <w:rFonts w:hint="eastAsia" w:eastAsia="仿宋_GB2312" w:cs="Times New Roman"/>
          <w:color w:val="auto"/>
          <w:sz w:val="32"/>
          <w:szCs w:val="32"/>
        </w:rPr>
        <w:t>142</w:t>
      </w:r>
      <w:r>
        <w:rPr>
          <w:rFonts w:eastAsia="仿宋_GB2312" w:cs="Times New Roman"/>
          <w:color w:val="auto"/>
          <w:sz w:val="32"/>
          <w:szCs w:val="32"/>
        </w:rPr>
        <w:t>号</w:t>
      </w:r>
    </w:p>
    <w:p>
      <w:pPr>
        <w:keepNext w:val="0"/>
        <w:keepLines w:val="0"/>
        <w:pageBreakBefore w:val="0"/>
        <w:kinsoku/>
        <w:wordWrap/>
        <w:overflowPunct/>
        <w:topLinePunct w:val="0"/>
        <w:autoSpaceDE/>
        <w:autoSpaceDN/>
        <w:bidi w:val="0"/>
        <w:adjustRightInd/>
        <w:snapToGrid/>
        <w:spacing w:line="600" w:lineRule="exact"/>
        <w:contextualSpacing/>
        <w:jc w:val="center"/>
        <w:textAlignment w:val="auto"/>
        <w:rPr>
          <w:rFonts w:eastAsia="宋体" w:cs="Times New Roman"/>
          <w:bCs/>
          <w:color w:val="auto"/>
          <w:szCs w:val="32"/>
        </w:rPr>
      </w:pPr>
    </w:p>
    <w:p>
      <w:pPr>
        <w:keepNext w:val="0"/>
        <w:keepLines w:val="0"/>
        <w:pageBreakBefore w:val="0"/>
        <w:kinsoku/>
        <w:wordWrap/>
        <w:overflowPunct/>
        <w:topLinePunct w:val="0"/>
        <w:autoSpaceDE/>
        <w:autoSpaceDN/>
        <w:bidi w:val="0"/>
        <w:adjustRightInd/>
        <w:snapToGrid/>
        <w:spacing w:line="600" w:lineRule="exact"/>
        <w:contextualSpacing/>
        <w:textAlignment w:val="auto"/>
        <w:rPr>
          <w:rFonts w:hint="eastAsia" w:ascii="仿宋_GB2312" w:eastAsia="仿宋_GB2312" w:cs="宋体"/>
          <w:color w:val="auto"/>
          <w:sz w:val="32"/>
          <w:szCs w:val="32"/>
        </w:rPr>
      </w:pPr>
      <w:r>
        <w:rPr>
          <w:rFonts w:hint="eastAsia" w:ascii="仿宋_GB2312" w:eastAsia="仿宋_GB2312" w:cs="宋体"/>
          <w:color w:val="auto"/>
          <w:sz w:val="32"/>
          <w:szCs w:val="32"/>
        </w:rPr>
        <w:t>各市、县（区）公安局（分局）：</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s="宋体"/>
          <w:color w:val="auto"/>
          <w:sz w:val="32"/>
          <w:szCs w:val="32"/>
        </w:rPr>
      </w:pPr>
      <w:r>
        <w:rPr>
          <w:rFonts w:hint="eastAsia" w:ascii="仿宋_GB2312" w:eastAsia="仿宋_GB2312" w:cs="宋体"/>
          <w:color w:val="auto"/>
          <w:sz w:val="32"/>
          <w:szCs w:val="32"/>
        </w:rPr>
        <w:t>为规范和加强社会单位消防安全管理，依据《中华人民共和国消防法》、《机关、团体、企业、事业单位消防安全管理规定》（公安部令第</w:t>
      </w:r>
      <w:r>
        <w:rPr>
          <w:rFonts w:hint="eastAsia" w:ascii="仿宋_GB2312" w:eastAsia="仿宋_GB2312" w:cs="Times New Roman"/>
          <w:color w:val="auto"/>
          <w:sz w:val="32"/>
          <w:szCs w:val="32"/>
        </w:rPr>
        <w:t>61</w:t>
      </w:r>
      <w:r>
        <w:rPr>
          <w:rFonts w:hint="eastAsia" w:ascii="仿宋_GB2312" w:eastAsia="仿宋_GB2312" w:cs="宋体"/>
          <w:color w:val="auto"/>
          <w:sz w:val="32"/>
          <w:szCs w:val="32"/>
        </w:rPr>
        <w:t>号）和《消防监督检查规定》（公安部令第</w:t>
      </w:r>
      <w:r>
        <w:rPr>
          <w:rFonts w:hint="eastAsia" w:ascii="仿宋_GB2312" w:eastAsia="仿宋_GB2312" w:cs="Times New Roman"/>
          <w:color w:val="auto"/>
          <w:sz w:val="32"/>
          <w:szCs w:val="32"/>
        </w:rPr>
        <w:t>120</w:t>
      </w:r>
      <w:r>
        <w:rPr>
          <w:rFonts w:hint="eastAsia" w:ascii="仿宋_GB2312" w:eastAsia="仿宋_GB2312" w:cs="宋体"/>
          <w:color w:val="auto"/>
          <w:sz w:val="32"/>
          <w:szCs w:val="32"/>
        </w:rPr>
        <w:t>号），公安厅在广泛调研的基础上，结合自治区实际，对宁夏回族自治区消防安全重点单位界定标准和有固定生产经营场所且具有一定规模的个体工商户界定标准进行了调整，现予以发布，并明确有关事项如下，请各单位认真贯彻执行。</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s="宋体"/>
          <w:color w:val="auto"/>
          <w:sz w:val="32"/>
          <w:szCs w:val="32"/>
        </w:rPr>
      </w:pPr>
      <w:r>
        <w:rPr>
          <w:rFonts w:hint="eastAsia" w:ascii="仿宋_GB2312" w:eastAsia="仿宋_GB2312" w:cs="宋体"/>
          <w:color w:val="auto"/>
          <w:sz w:val="32"/>
          <w:szCs w:val="32"/>
        </w:rPr>
        <w:t>一、公安机关消防机构和派出所实施消防监督检查的范围是机关、团体、企业、事业单位以及符合《具有一定规模的个体工商户界定标准》的个体工商户。</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s="宋体"/>
          <w:color w:val="auto"/>
          <w:sz w:val="32"/>
          <w:szCs w:val="32"/>
        </w:rPr>
      </w:pPr>
      <w:r>
        <w:rPr>
          <w:rFonts w:hint="eastAsia" w:ascii="仿宋_GB2312" w:eastAsia="仿宋_GB2312" w:cs="宋体"/>
          <w:color w:val="auto"/>
          <w:sz w:val="32"/>
          <w:szCs w:val="32"/>
        </w:rPr>
        <w:t>二、消防安全重点单位由公安机关消防机构负责监督，其中，公安消防支队负责监管的重点单位数量不应少于支队机关消防监督员实有人数的2倍。</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s="宋体"/>
          <w:color w:val="auto"/>
          <w:sz w:val="32"/>
          <w:szCs w:val="32"/>
        </w:rPr>
      </w:pPr>
      <w:r>
        <w:rPr>
          <w:rFonts w:hint="eastAsia" w:ascii="仿宋_GB2312" w:eastAsia="仿宋_GB2312" w:cs="宋体"/>
          <w:color w:val="auto"/>
          <w:sz w:val="32"/>
          <w:szCs w:val="32"/>
        </w:rPr>
        <w:t>三、《宁夏回族自治区公安派出所消防监督工作规定》（宁公通〔2010〕195号）第九条规定范围之内的非消防安全重点单位，以及符合《有固定生产经营场所且具有一定规模的个体工商户界定标准》的个体工商户由公安派出所负责消防监督，公安机关消防机构可以进行抽查。</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s="宋体"/>
          <w:color w:val="auto"/>
          <w:sz w:val="32"/>
          <w:szCs w:val="32"/>
        </w:rPr>
      </w:pPr>
      <w:r>
        <w:rPr>
          <w:rFonts w:hint="eastAsia" w:ascii="仿宋_GB2312" w:eastAsia="仿宋_GB2312" w:cs="宋体"/>
          <w:color w:val="auto"/>
          <w:sz w:val="32"/>
          <w:szCs w:val="32"/>
        </w:rPr>
        <w:t>四、公安机关消防机构负责监督的消防安全重点单位和公安派出所负责监督的非消防安全重点单位、个体工商户名单，每年3月份之前，由市、县级公安机关调整公布，并上报上级公安机关消防机构备案。</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s="宋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s="宋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s="宋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5440" w:firstLineChars="1700"/>
        <w:contextualSpacing/>
        <w:textAlignment w:val="auto"/>
        <w:rPr>
          <w:rFonts w:hint="eastAsia" w:ascii="仿宋_GB2312" w:eastAsia="仿宋_GB2312" w:cs="宋体"/>
          <w:color w:val="auto"/>
          <w:sz w:val="32"/>
          <w:szCs w:val="32"/>
        </w:rPr>
      </w:pPr>
      <w:r>
        <w:rPr>
          <w:rFonts w:hint="eastAsia" w:ascii="仿宋_GB2312" w:eastAsia="仿宋_GB2312" w:cs="宋体"/>
          <w:color w:val="auto"/>
          <w:sz w:val="32"/>
          <w:szCs w:val="32"/>
        </w:rPr>
        <w:t>自治区公安厅</w:t>
      </w:r>
    </w:p>
    <w:p>
      <w:pPr>
        <w:keepNext w:val="0"/>
        <w:keepLines w:val="0"/>
        <w:pageBreakBefore w:val="0"/>
        <w:kinsoku/>
        <w:wordWrap/>
        <w:overflowPunct/>
        <w:topLinePunct w:val="0"/>
        <w:autoSpaceDE/>
        <w:autoSpaceDN/>
        <w:bidi w:val="0"/>
        <w:adjustRightInd/>
        <w:snapToGrid/>
        <w:spacing w:line="600" w:lineRule="exact"/>
        <w:ind w:firstLine="5280" w:firstLineChars="1650"/>
        <w:contextualSpacing/>
        <w:textAlignment w:val="auto"/>
        <w:rPr>
          <w:rFonts w:hint="eastAsia" w:ascii="仿宋_GB2312" w:eastAsia="仿宋_GB2312" w:cs="宋体"/>
          <w:color w:val="auto"/>
          <w:sz w:val="32"/>
          <w:szCs w:val="32"/>
        </w:rPr>
      </w:pPr>
      <w:r>
        <w:rPr>
          <w:rFonts w:hint="eastAsia" w:ascii="仿宋_GB2312" w:eastAsia="仿宋_GB2312" w:cs="宋体"/>
          <w:color w:val="auto"/>
          <w:sz w:val="32"/>
          <w:szCs w:val="32"/>
        </w:rPr>
        <w:t>2013年8月30日</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s="宋体"/>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幼圆"/>
          <w:bCs/>
          <w:color w:val="auto"/>
          <w:sz w:val="44"/>
          <w:szCs w:val="44"/>
        </w:rPr>
      </w:pPr>
      <w:r>
        <w:rPr>
          <w:rFonts w:ascii="仿宋_GB2312" w:eastAsia="仿宋_GB2312" w:cs="宋体"/>
          <w:color w:val="auto"/>
          <w:szCs w:val="32"/>
        </w:rPr>
        <w:br w:type="page"/>
      </w:r>
      <w:r>
        <w:rPr>
          <w:rFonts w:hint="eastAsia" w:ascii="方正小标宋简体" w:eastAsia="方正小标宋简体" w:cs="幼圆"/>
          <w:bCs/>
          <w:color w:val="auto"/>
          <w:sz w:val="44"/>
          <w:szCs w:val="44"/>
        </w:rPr>
        <w:t>宁夏回族自治区</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Cs/>
          <w:color w:val="auto"/>
          <w:sz w:val="44"/>
          <w:szCs w:val="44"/>
        </w:rPr>
      </w:pPr>
      <w:r>
        <w:rPr>
          <w:rFonts w:hint="eastAsia" w:ascii="方正小标宋简体" w:eastAsia="方正小标宋简体" w:cs="幼圆"/>
          <w:bCs/>
          <w:color w:val="auto"/>
          <w:sz w:val="44"/>
          <w:szCs w:val="44"/>
        </w:rPr>
        <w:t>消防安全重点单位界定标准</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楷体_GB2312" w:eastAsia="楷体_GB2312"/>
          <w:bCs/>
          <w:color w:val="auto"/>
          <w:sz w:val="32"/>
          <w:szCs w:val="32"/>
        </w:rPr>
      </w:pPr>
      <w:r>
        <w:rPr>
          <w:rFonts w:hint="eastAsia" w:ascii="楷体_GB2312" w:eastAsia="楷体_GB2312" w:cs="幼圆"/>
          <w:bCs/>
          <w:color w:val="auto"/>
          <w:sz w:val="32"/>
          <w:szCs w:val="32"/>
        </w:rPr>
        <w:t>（2013年8月修订）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hint="eastAsia" w:ascii="仿宋_GB2312" w:eastAsia="仿宋_GB2312"/>
          <w:color w:val="auto"/>
          <w:sz w:val="32"/>
          <w:szCs w:val="32"/>
        </w:rPr>
        <w:t>按照《机关、团体、企业、事业单位消防安全管理规定》（公安部令第61号）的要求</w:t>
      </w:r>
      <w:r>
        <w:rPr>
          <w:rFonts w:eastAsia="仿宋_GB2312"/>
          <w:color w:val="auto"/>
          <w:sz w:val="32"/>
          <w:szCs w:val="32"/>
        </w:rPr>
        <w:t>，</w:t>
      </w:r>
      <w:r>
        <w:rPr>
          <w:rFonts w:hint="eastAsia" w:eastAsia="仿宋_GB2312"/>
          <w:color w:val="auto"/>
          <w:sz w:val="32"/>
          <w:szCs w:val="32"/>
        </w:rPr>
        <w:t>经营、管理</w:t>
      </w:r>
      <w:r>
        <w:rPr>
          <w:rFonts w:eastAsia="仿宋_GB2312"/>
          <w:color w:val="auto"/>
          <w:sz w:val="32"/>
          <w:szCs w:val="32"/>
        </w:rPr>
        <w:t>下列场所</w:t>
      </w:r>
      <w:r>
        <w:rPr>
          <w:rFonts w:hint="eastAsia" w:eastAsia="仿宋_GB2312"/>
          <w:color w:val="auto"/>
          <w:sz w:val="32"/>
          <w:szCs w:val="32"/>
        </w:rPr>
        <w:t>的单位</w:t>
      </w:r>
      <w:r>
        <w:rPr>
          <w:rFonts w:eastAsia="仿宋_GB2312"/>
          <w:color w:val="auto"/>
          <w:sz w:val="32"/>
          <w:szCs w:val="32"/>
        </w:rPr>
        <w:t>是消防安全重点单位：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eastAsia="黑体"/>
          <w:bCs/>
          <w:color w:val="auto"/>
          <w:sz w:val="32"/>
          <w:szCs w:val="32"/>
        </w:rPr>
      </w:pPr>
      <w:r>
        <w:rPr>
          <w:rFonts w:hint="eastAsia" w:ascii="黑体" w:eastAsia="黑体"/>
          <w:bCs/>
          <w:color w:val="auto"/>
          <w:sz w:val="32"/>
          <w:szCs w:val="32"/>
        </w:rPr>
        <w:t>一、宾（旅）馆、饭店、商场、集贸市场、体育场馆、会堂以及公共娱乐场所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（一）星级以上或者总建筑面积5000平方米以上的酒店、宾（旅）馆、饭店；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（二）单体建筑面积2000平方米以上的商场和占地面积5000平方米以上的集贸市场；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（三）对公众开放的体育场馆、会堂；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（四）建筑面积2500平方米以上的影剧院、放映厅（录像厅）、礼堂等演出、放映场所；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（五）建筑面积500平方米以上的歌舞厅、夜总会、卡拉OK厅、音乐茶座等歌舞娱乐场所；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六）建筑面积500平方米以上的网吧、游艺厅（含电子游艺厅）、棋牌室、桌球房、酒吧和建筑面积1000平方米以上的保龄球馆、旱冰场、健身房、洗浴（含桑拿浴、足浴）、美容美发等游艺、游乐场所和营业性健身、美容、休闲场所；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（七）建筑面积2000平方米以上的餐饮场所。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bCs/>
          <w:color w:val="auto"/>
          <w:sz w:val="32"/>
          <w:szCs w:val="32"/>
        </w:rPr>
      </w:pPr>
      <w:r>
        <w:rPr>
          <w:rFonts w:ascii="黑体" w:eastAsia="黑体"/>
          <w:bCs/>
          <w:color w:val="auto"/>
          <w:sz w:val="32"/>
          <w:szCs w:val="32"/>
        </w:rPr>
        <w:t>二、医院、养老院（敬老院、养老机构）、福利院和学校、托儿所、幼儿园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（一）二级以上的医院；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eastAsia="仿宋_GB2312"/>
          <w:color w:val="auto"/>
          <w:sz w:val="32"/>
          <w:szCs w:val="32"/>
        </w:rPr>
        <w:t>（二）总床位数</w:t>
      </w:r>
      <w:r>
        <w:rPr>
          <w:rFonts w:hint="eastAsia" w:ascii="仿宋_GB2312" w:eastAsia="仿宋_GB2312"/>
          <w:color w:val="auto"/>
          <w:sz w:val="32"/>
          <w:szCs w:val="32"/>
        </w:rPr>
        <w:t>50张以上的养老院（敬老院、养老机构）、福利院；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hint="eastAsia" w:ascii="仿宋_GB2312" w:eastAsia="仿宋_GB2312"/>
          <w:color w:val="auto"/>
          <w:sz w:val="32"/>
          <w:szCs w:val="32"/>
        </w:rPr>
        <w:t>（三）寄宿制托儿所、幼儿园、中小学校（仅提供午休的除外）</w:t>
      </w:r>
      <w:r>
        <w:rPr>
          <w:rFonts w:hint="eastAsia"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（四）高等院校。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bCs/>
          <w:color w:val="auto"/>
          <w:sz w:val="32"/>
          <w:szCs w:val="32"/>
        </w:rPr>
      </w:pPr>
      <w:r>
        <w:rPr>
          <w:rFonts w:ascii="黑体" w:eastAsia="黑体"/>
          <w:bCs/>
          <w:color w:val="auto"/>
          <w:sz w:val="32"/>
          <w:szCs w:val="32"/>
        </w:rPr>
        <w:t>三、国家机关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（一）县级</w:t>
      </w:r>
      <w:r>
        <w:rPr>
          <w:rFonts w:hint="eastAsia" w:eastAsia="仿宋_GB2312"/>
          <w:color w:val="auto"/>
          <w:sz w:val="32"/>
          <w:szCs w:val="32"/>
        </w:rPr>
        <w:t>以上</w:t>
      </w:r>
      <w:r>
        <w:rPr>
          <w:rFonts w:eastAsia="仿宋_GB2312"/>
          <w:color w:val="auto"/>
          <w:sz w:val="32"/>
          <w:szCs w:val="32"/>
        </w:rPr>
        <w:t xml:space="preserve">的党委、人大、政府、政协办公场所；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（二）县级</w:t>
      </w:r>
      <w:r>
        <w:rPr>
          <w:rFonts w:hint="eastAsia" w:eastAsia="仿宋_GB2312"/>
          <w:color w:val="auto"/>
          <w:sz w:val="32"/>
          <w:szCs w:val="32"/>
        </w:rPr>
        <w:t>以上</w:t>
      </w:r>
      <w:r>
        <w:rPr>
          <w:rFonts w:eastAsia="仿宋_GB2312"/>
          <w:color w:val="auto"/>
          <w:sz w:val="32"/>
          <w:szCs w:val="32"/>
        </w:rPr>
        <w:t>的人民检察院、人民法院</w:t>
      </w:r>
      <w:r>
        <w:rPr>
          <w:rFonts w:hint="eastAsia" w:eastAsia="仿宋_GB2312"/>
          <w:color w:val="auto"/>
          <w:sz w:val="32"/>
          <w:szCs w:val="32"/>
        </w:rPr>
        <w:t>办公场所</w:t>
      </w:r>
      <w:r>
        <w:rPr>
          <w:rFonts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bCs/>
          <w:color w:val="auto"/>
          <w:sz w:val="32"/>
          <w:szCs w:val="32"/>
        </w:rPr>
      </w:pPr>
      <w:r>
        <w:rPr>
          <w:rFonts w:ascii="黑体" w:eastAsia="黑体"/>
          <w:bCs/>
          <w:color w:val="auto"/>
          <w:sz w:val="32"/>
          <w:szCs w:val="32"/>
        </w:rPr>
        <w:t>四、城镇重要设施场所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（一）县级</w:t>
      </w:r>
      <w:r>
        <w:rPr>
          <w:rFonts w:hint="eastAsia" w:eastAsia="仿宋_GB2312"/>
          <w:color w:val="auto"/>
          <w:sz w:val="32"/>
          <w:szCs w:val="32"/>
        </w:rPr>
        <w:t>以上</w:t>
      </w:r>
      <w:r>
        <w:rPr>
          <w:rFonts w:eastAsia="仿宋_GB2312"/>
          <w:color w:val="auto"/>
          <w:sz w:val="32"/>
          <w:szCs w:val="32"/>
        </w:rPr>
        <w:t>的的防灾调度指挥楼、档案楼；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（二）</w:t>
      </w:r>
      <w:r>
        <w:rPr>
          <w:rFonts w:hint="eastAsia" w:eastAsia="仿宋_GB2312"/>
          <w:color w:val="auto"/>
          <w:sz w:val="32"/>
          <w:szCs w:val="32"/>
        </w:rPr>
        <w:t>市</w:t>
      </w:r>
      <w:r>
        <w:rPr>
          <w:rFonts w:eastAsia="仿宋_GB2312"/>
          <w:color w:val="auto"/>
          <w:sz w:val="32"/>
          <w:szCs w:val="32"/>
        </w:rPr>
        <w:t>级</w:t>
      </w:r>
      <w:r>
        <w:rPr>
          <w:rFonts w:hint="eastAsia" w:eastAsia="仿宋_GB2312"/>
          <w:color w:val="auto"/>
          <w:sz w:val="32"/>
          <w:szCs w:val="32"/>
        </w:rPr>
        <w:t>以上</w:t>
      </w:r>
      <w:r>
        <w:rPr>
          <w:rFonts w:eastAsia="仿宋_GB2312"/>
          <w:color w:val="auto"/>
          <w:sz w:val="32"/>
          <w:szCs w:val="32"/>
        </w:rPr>
        <w:t>的的广播台、电视台；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eastAsia="仿宋_GB2312"/>
          <w:color w:val="auto"/>
          <w:sz w:val="32"/>
          <w:szCs w:val="32"/>
        </w:rPr>
        <w:t>（三）</w:t>
      </w:r>
      <w:r>
        <w:rPr>
          <w:rFonts w:hint="eastAsia" w:eastAsia="仿宋_GB2312"/>
          <w:color w:val="auto"/>
          <w:sz w:val="32"/>
          <w:szCs w:val="32"/>
        </w:rPr>
        <w:t>市</w:t>
      </w:r>
      <w:r>
        <w:rPr>
          <w:rFonts w:eastAsia="仿宋_GB2312"/>
          <w:color w:val="auto"/>
          <w:sz w:val="32"/>
          <w:szCs w:val="32"/>
        </w:rPr>
        <w:t>级</w:t>
      </w:r>
      <w:r>
        <w:rPr>
          <w:rFonts w:hint="eastAsia" w:eastAsia="仿宋_GB2312"/>
          <w:color w:val="auto"/>
          <w:sz w:val="32"/>
          <w:szCs w:val="32"/>
        </w:rPr>
        <w:t>以上</w:t>
      </w:r>
      <w:r>
        <w:rPr>
          <w:rFonts w:eastAsia="仿宋_GB2312"/>
          <w:color w:val="auto"/>
          <w:sz w:val="32"/>
          <w:szCs w:val="32"/>
        </w:rPr>
        <w:t>的的邮政、通信</w:t>
      </w:r>
      <w:r>
        <w:rPr>
          <w:rFonts w:hint="eastAsia" w:eastAsia="仿宋_GB2312"/>
          <w:color w:val="auto"/>
          <w:sz w:val="32"/>
          <w:szCs w:val="32"/>
        </w:rPr>
        <w:t>枢纽</w:t>
      </w:r>
      <w:r>
        <w:rPr>
          <w:rFonts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bCs/>
          <w:color w:val="auto"/>
          <w:sz w:val="32"/>
          <w:szCs w:val="32"/>
        </w:rPr>
      </w:pPr>
      <w:r>
        <w:rPr>
          <w:rFonts w:ascii="黑体" w:eastAsia="黑体"/>
          <w:bCs/>
          <w:color w:val="auto"/>
          <w:sz w:val="32"/>
          <w:szCs w:val="32"/>
        </w:rPr>
        <w:t>五、城市交通类人员密集场所</w:t>
      </w:r>
      <w:r>
        <w:rPr>
          <w:rFonts w:ascii="黑体" w:eastAsia="黑体"/>
          <w:bCs/>
          <w:color w:val="auto"/>
          <w:sz w:val="32"/>
          <w:szCs w:val="32"/>
        </w:rPr>
        <w:tab/>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eastAsia="仿宋_GB2312"/>
          <w:color w:val="auto"/>
          <w:sz w:val="32"/>
          <w:szCs w:val="32"/>
        </w:rPr>
        <w:t>（一）候车室、候船</w:t>
      </w:r>
      <w:r>
        <w:rPr>
          <w:rFonts w:hint="eastAsia" w:ascii="仿宋_GB2312" w:eastAsia="仿宋_GB2312"/>
          <w:color w:val="auto"/>
          <w:sz w:val="32"/>
          <w:szCs w:val="32"/>
        </w:rPr>
        <w:t>厅建筑面积5000平方米以上的铁路、公路客运车站、船舶客运码头；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（二）设有火灾自动报警系统的交通隧道；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（三）民用机场。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eastAsia="黑体"/>
          <w:bCs/>
          <w:color w:val="auto"/>
          <w:sz w:val="32"/>
          <w:szCs w:val="32"/>
        </w:rPr>
      </w:pPr>
      <w:r>
        <w:rPr>
          <w:rFonts w:ascii="黑体" w:eastAsia="黑体"/>
          <w:bCs/>
          <w:color w:val="auto"/>
          <w:sz w:val="32"/>
          <w:szCs w:val="32"/>
        </w:rPr>
        <w:t>六、公共图书馆、展览馆、博物馆</w:t>
      </w:r>
      <w:r>
        <w:rPr>
          <w:rFonts w:hint="eastAsia" w:ascii="黑体" w:eastAsia="黑体"/>
          <w:bCs/>
          <w:color w:val="auto"/>
          <w:sz w:val="32"/>
          <w:szCs w:val="32"/>
        </w:rPr>
        <w:t>、</w:t>
      </w:r>
      <w:r>
        <w:rPr>
          <w:rFonts w:ascii="黑体" w:eastAsia="黑体"/>
          <w:bCs/>
          <w:color w:val="auto"/>
          <w:sz w:val="32"/>
          <w:szCs w:val="32"/>
        </w:rPr>
        <w:t>文物保护单位</w:t>
      </w:r>
      <w:r>
        <w:rPr>
          <w:rFonts w:hint="eastAsia" w:ascii="黑体" w:eastAsia="黑体"/>
          <w:bCs/>
          <w:color w:val="auto"/>
          <w:sz w:val="32"/>
          <w:szCs w:val="32"/>
        </w:rPr>
        <w:t>和旅游景区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eastAsia="仿宋_GB2312"/>
          <w:color w:val="auto"/>
          <w:sz w:val="32"/>
          <w:szCs w:val="32"/>
        </w:rPr>
        <w:t>（一）建筑</w:t>
      </w:r>
      <w:r>
        <w:rPr>
          <w:rFonts w:hint="eastAsia" w:ascii="仿宋_GB2312" w:eastAsia="仿宋_GB2312"/>
          <w:color w:val="auto"/>
          <w:sz w:val="32"/>
          <w:szCs w:val="32"/>
        </w:rPr>
        <w:t>面积2000平方米以上的公共图书馆、展览馆、博物馆；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（二）市级以上文物保护建筑；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（三）4A级以上旅游景区。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eastAsia="黑体"/>
          <w:bCs/>
          <w:color w:val="auto"/>
          <w:sz w:val="32"/>
          <w:szCs w:val="32"/>
        </w:rPr>
      </w:pPr>
      <w:r>
        <w:rPr>
          <w:rFonts w:ascii="黑体" w:eastAsia="黑体"/>
          <w:bCs/>
          <w:color w:val="auto"/>
          <w:sz w:val="32"/>
          <w:szCs w:val="32"/>
        </w:rPr>
        <w:t>七、发电厂和电网经营</w:t>
      </w:r>
      <w:r>
        <w:rPr>
          <w:rFonts w:hint="eastAsia" w:ascii="黑体" w:eastAsia="黑体"/>
          <w:bCs/>
          <w:color w:val="auto"/>
          <w:sz w:val="32"/>
          <w:szCs w:val="32"/>
        </w:rPr>
        <w:t>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（一）发电厂；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eastAsia="仿宋_GB2312"/>
          <w:color w:val="auto"/>
          <w:sz w:val="32"/>
          <w:szCs w:val="32"/>
        </w:rPr>
        <w:t>（二）</w:t>
      </w:r>
      <w:r>
        <w:rPr>
          <w:rFonts w:hint="eastAsia" w:eastAsia="仿宋_GB2312"/>
          <w:color w:val="auto"/>
          <w:sz w:val="32"/>
          <w:szCs w:val="32"/>
        </w:rPr>
        <w:t>市级</w:t>
      </w:r>
      <w:r>
        <w:rPr>
          <w:rFonts w:hint="eastAsia" w:ascii="仿宋_GB2312" w:eastAsia="仿宋_GB2312"/>
          <w:color w:val="auto"/>
          <w:sz w:val="32"/>
          <w:szCs w:val="32"/>
        </w:rPr>
        <w:t>以上电力调度、供应中心；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strike/>
          <w:color w:val="auto"/>
          <w:sz w:val="32"/>
          <w:szCs w:val="32"/>
        </w:rPr>
      </w:pPr>
      <w:r>
        <w:rPr>
          <w:rFonts w:hint="eastAsia" w:ascii="仿宋_GB2312" w:eastAsia="仿宋_GB2312"/>
          <w:color w:val="auto"/>
          <w:sz w:val="32"/>
          <w:szCs w:val="32"/>
        </w:rPr>
        <w:t>（三）电压等级220千伏以上的超高压</w:t>
      </w:r>
      <w:r>
        <w:rPr>
          <w:rFonts w:eastAsia="仿宋_GB2312"/>
          <w:color w:val="auto"/>
          <w:sz w:val="32"/>
          <w:szCs w:val="32"/>
        </w:rPr>
        <w:t>输变电</w:t>
      </w:r>
      <w:r>
        <w:rPr>
          <w:rFonts w:hint="eastAsia" w:eastAsia="仿宋_GB2312"/>
          <w:color w:val="auto"/>
          <w:sz w:val="32"/>
          <w:szCs w:val="32"/>
        </w:rPr>
        <w:t>设施</w:t>
      </w:r>
      <w:r>
        <w:rPr>
          <w:rFonts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bCs/>
          <w:color w:val="auto"/>
          <w:sz w:val="32"/>
          <w:szCs w:val="32"/>
        </w:rPr>
      </w:pPr>
      <w:r>
        <w:rPr>
          <w:rFonts w:ascii="黑体" w:eastAsia="黑体"/>
          <w:bCs/>
          <w:color w:val="auto"/>
          <w:sz w:val="32"/>
          <w:szCs w:val="32"/>
        </w:rPr>
        <w:t>八、易燃易爆危险品场所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eastAsia="仿宋_GB2312"/>
          <w:color w:val="auto"/>
          <w:sz w:val="32"/>
          <w:szCs w:val="32"/>
        </w:rPr>
        <w:t>（一）</w:t>
      </w:r>
      <w:r>
        <w:rPr>
          <w:rFonts w:hint="eastAsia" w:ascii="仿宋_GB2312" w:eastAsia="仿宋_GB2312"/>
          <w:color w:val="auto"/>
          <w:sz w:val="32"/>
          <w:szCs w:val="32"/>
        </w:rPr>
        <w:t>单座容积5000立方米以上或者总容积20000立方米以上的甲、乙类储罐；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（二）总建筑面积1000平方米以上的甲类厂房和总建筑面积2000平方米以上的乙类厂房；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（三）总建筑面积500平方米以上的甲类仓库和总建筑面积1000平方米以上的乙类仓库；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（四）易燃易爆气体和液体的充装站、供应站、调压站（不含汽车加油加气站）；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（五）占地面积10000平方米以上的工艺装置；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（六）二级加油站、加气站或加油加气站。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dstrike/>
          <w:color w:val="auto"/>
          <w:sz w:val="32"/>
          <w:szCs w:val="32"/>
        </w:rPr>
      </w:pPr>
      <w:r>
        <w:rPr>
          <w:rFonts w:ascii="黑体" w:eastAsia="黑体"/>
          <w:bCs/>
          <w:color w:val="auto"/>
          <w:sz w:val="32"/>
          <w:szCs w:val="32"/>
        </w:rPr>
        <w:t>九、生产加工车间总建筑面积</w:t>
      </w:r>
      <w:r>
        <w:rPr>
          <w:rFonts w:hint="eastAsia" w:ascii="黑体" w:eastAsia="黑体"/>
          <w:bCs/>
          <w:color w:val="auto"/>
          <w:sz w:val="32"/>
          <w:szCs w:val="32"/>
        </w:rPr>
        <w:t>5</w:t>
      </w:r>
      <w:r>
        <w:rPr>
          <w:rFonts w:ascii="黑体" w:eastAsia="黑体"/>
          <w:bCs/>
          <w:color w:val="auto"/>
          <w:sz w:val="32"/>
          <w:szCs w:val="32"/>
        </w:rPr>
        <w:t>000平方米</w:t>
      </w:r>
      <w:r>
        <w:rPr>
          <w:rFonts w:hint="eastAsia" w:ascii="黑体" w:eastAsia="黑体"/>
          <w:bCs/>
          <w:color w:val="auto"/>
          <w:sz w:val="32"/>
          <w:szCs w:val="32"/>
        </w:rPr>
        <w:t>以上</w:t>
      </w:r>
      <w:r>
        <w:rPr>
          <w:rFonts w:ascii="黑体" w:eastAsia="黑体"/>
          <w:bCs/>
          <w:color w:val="auto"/>
          <w:sz w:val="32"/>
          <w:szCs w:val="32"/>
        </w:rPr>
        <w:t>的服装、鞋帽、玩具等劳动密集型生产、加工</w:t>
      </w:r>
      <w:r>
        <w:rPr>
          <w:rFonts w:hint="eastAsia" w:ascii="黑体" w:eastAsia="黑体"/>
          <w:bCs/>
          <w:color w:val="auto"/>
          <w:sz w:val="32"/>
          <w:szCs w:val="32"/>
        </w:rPr>
        <w:t>场所</w:t>
      </w:r>
      <w:r>
        <w:rPr>
          <w:rFonts w:ascii="黑体" w:eastAsia="黑体"/>
          <w:bCs/>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bCs/>
          <w:color w:val="auto"/>
          <w:sz w:val="32"/>
          <w:szCs w:val="32"/>
        </w:rPr>
      </w:pPr>
      <w:r>
        <w:rPr>
          <w:rFonts w:ascii="黑体" w:eastAsia="黑体"/>
          <w:bCs/>
          <w:color w:val="auto"/>
          <w:sz w:val="32"/>
          <w:szCs w:val="32"/>
        </w:rPr>
        <w:t>十、金融机构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（一）分行级以上银行</w:t>
      </w:r>
      <w:r>
        <w:rPr>
          <w:rFonts w:hint="eastAsia" w:eastAsia="仿宋_GB2312"/>
          <w:color w:val="auto"/>
          <w:sz w:val="32"/>
          <w:szCs w:val="32"/>
        </w:rPr>
        <w:t>办公场所</w:t>
      </w:r>
      <w:r>
        <w:rPr>
          <w:rFonts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（二）银行业、保险业、证券业数据处理中心。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bCs/>
          <w:color w:val="auto"/>
          <w:sz w:val="32"/>
          <w:szCs w:val="32"/>
        </w:rPr>
      </w:pPr>
      <w:r>
        <w:rPr>
          <w:rFonts w:ascii="黑体" w:eastAsia="黑体"/>
          <w:bCs/>
          <w:color w:val="auto"/>
          <w:sz w:val="32"/>
          <w:szCs w:val="32"/>
        </w:rPr>
        <w:t>十</w:t>
      </w:r>
      <w:r>
        <w:rPr>
          <w:rFonts w:hint="eastAsia" w:ascii="黑体" w:eastAsia="黑体"/>
          <w:bCs/>
          <w:color w:val="auto"/>
          <w:sz w:val="32"/>
          <w:szCs w:val="32"/>
        </w:rPr>
        <w:t>一</w:t>
      </w:r>
      <w:r>
        <w:rPr>
          <w:rFonts w:ascii="黑体" w:eastAsia="黑体"/>
          <w:bCs/>
          <w:color w:val="auto"/>
          <w:sz w:val="32"/>
          <w:szCs w:val="32"/>
        </w:rPr>
        <w:t>、</w:t>
      </w:r>
      <w:r>
        <w:rPr>
          <w:rFonts w:hint="eastAsia" w:ascii="黑体" w:eastAsia="黑体"/>
          <w:bCs/>
          <w:color w:val="auto"/>
          <w:sz w:val="32"/>
          <w:szCs w:val="32"/>
        </w:rPr>
        <w:t>总建筑面积2000平方米以上的宗教活动场所。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黑体"/>
          <w:bCs/>
          <w:color w:val="auto"/>
          <w:sz w:val="32"/>
          <w:szCs w:val="32"/>
        </w:rPr>
      </w:pPr>
      <w:r>
        <w:rPr>
          <w:rFonts w:ascii="黑体" w:eastAsia="黑体"/>
          <w:bCs/>
          <w:color w:val="auto"/>
          <w:sz w:val="32"/>
          <w:szCs w:val="32"/>
        </w:rPr>
        <w:t>十</w:t>
      </w:r>
      <w:r>
        <w:rPr>
          <w:rFonts w:hint="eastAsia" w:ascii="黑体" w:eastAsia="黑体"/>
          <w:bCs/>
          <w:color w:val="auto"/>
          <w:sz w:val="32"/>
          <w:szCs w:val="32"/>
        </w:rPr>
        <w:t>二</w:t>
      </w:r>
      <w:r>
        <w:rPr>
          <w:rFonts w:ascii="黑体" w:eastAsia="黑体"/>
          <w:bCs/>
          <w:color w:val="auto"/>
          <w:sz w:val="32"/>
          <w:szCs w:val="32"/>
        </w:rPr>
        <w:t>、</w:t>
      </w:r>
      <w:r>
        <w:rPr>
          <w:rFonts w:hint="eastAsia" w:ascii="黑体" w:eastAsia="黑体"/>
          <w:bCs/>
          <w:color w:val="auto"/>
          <w:sz w:val="32"/>
          <w:szCs w:val="32"/>
        </w:rPr>
        <w:t>其他</w:t>
      </w:r>
      <w:r>
        <w:rPr>
          <w:rFonts w:ascii="黑体" w:eastAsia="黑体"/>
          <w:bCs/>
          <w:color w:val="auto"/>
          <w:sz w:val="32"/>
          <w:szCs w:val="32"/>
        </w:rPr>
        <w:t>发生火灾可能性较大以及发生火灾可能造成重大的人身伤亡或者财产损失的</w:t>
      </w:r>
      <w:r>
        <w:rPr>
          <w:rFonts w:hint="eastAsia" w:ascii="黑体" w:eastAsia="黑体"/>
          <w:bCs/>
          <w:color w:val="auto"/>
          <w:sz w:val="32"/>
          <w:szCs w:val="32"/>
        </w:rPr>
        <w:t>场所</w:t>
      </w:r>
      <w:r>
        <w:rPr>
          <w:rFonts w:ascii="黑体" w:eastAsia="黑体"/>
          <w:bCs/>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eastAsia="仿宋_GB2312"/>
          <w:color w:val="auto"/>
          <w:sz w:val="32"/>
          <w:szCs w:val="32"/>
        </w:rPr>
        <w:t>（一）高层</w:t>
      </w:r>
      <w:r>
        <w:rPr>
          <w:rFonts w:hint="eastAsia" w:eastAsia="仿宋_GB2312"/>
          <w:color w:val="auto"/>
          <w:sz w:val="32"/>
          <w:szCs w:val="32"/>
        </w:rPr>
        <w:t>、地下</w:t>
      </w:r>
      <w:r>
        <w:rPr>
          <w:rFonts w:hint="eastAsia" w:ascii="仿宋_GB2312" w:eastAsia="仿宋_GB2312"/>
          <w:color w:val="auto"/>
          <w:sz w:val="32"/>
          <w:szCs w:val="32"/>
        </w:rPr>
        <w:t>公共建筑（不含民用住宅及其附属地下停车场部分）；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（二）总储存能力10000吨以上的粮油仓库和存储物资价值2亿元以上的其他物资仓库；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（三）固定资产（不含土地费用）总价值5亿元以上的其他产业活动场所；</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（四）经消防性能化设计的建筑。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本标准自发布之日起施行。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eastAsia="黑体"/>
          <w:color w:val="auto"/>
          <w:sz w:val="32"/>
          <w:szCs w:val="32"/>
        </w:rPr>
      </w:pPr>
      <w:r>
        <w:rPr>
          <w:rFonts w:hint="eastAsia" w:ascii="黑体" w:eastAsia="黑体"/>
          <w:color w:val="auto"/>
          <w:sz w:val="32"/>
          <w:szCs w:val="32"/>
        </w:rPr>
        <w:t>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一、本标准所称“单位”，是指机关、团体、企业、事业法人单位。其中，企业单位包括独资企业、合伙企业、公司。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二、同一单位经营、管理多个标准范围内场所的，应当将经营、管理单位列为消防安全重点单位，各场所列为消防安全重点部位。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color w:val="auto"/>
          <w:sz w:val="32"/>
          <w:szCs w:val="32"/>
        </w:rPr>
      </w:pPr>
      <w:r>
        <w:rPr>
          <w:rFonts w:hint="eastAsia" w:ascii="仿宋_GB2312" w:eastAsia="仿宋_GB2312"/>
          <w:color w:val="auto"/>
          <w:sz w:val="32"/>
          <w:szCs w:val="32"/>
        </w:rPr>
        <w:t>三、本标准所称“以上”，均包含本数或本级。</w:t>
      </w:r>
      <w:r>
        <w:rPr>
          <w:color w:val="auto"/>
          <w:sz w:val="32"/>
          <w:szCs w:val="32"/>
        </w:rPr>
        <w:t xml:space="preserve"> </w:t>
      </w:r>
    </w:p>
    <w:p>
      <w:pPr>
        <w:keepNext w:val="0"/>
        <w:keepLines w:val="0"/>
        <w:pageBreakBefore w:val="0"/>
        <w:kinsoku/>
        <w:wordWrap/>
        <w:overflowPunct/>
        <w:topLinePunct w:val="0"/>
        <w:autoSpaceDE/>
        <w:autoSpaceDN/>
        <w:bidi w:val="0"/>
        <w:adjustRightInd/>
        <w:snapToGrid/>
        <w:spacing w:line="600" w:lineRule="exact"/>
        <w:contextualSpacing/>
        <w:textAlignment w:val="auto"/>
        <w:rPr>
          <w:rFonts w:hint="eastAsia" w:ascii="方正小标宋简体" w:hAnsi="华文中宋" w:eastAsia="方正小标宋简体" w:cs="宋体"/>
          <w:bCs/>
          <w:color w:val="auto"/>
          <w:sz w:val="44"/>
          <w:szCs w:val="44"/>
        </w:rPr>
      </w:pPr>
    </w:p>
    <w:p>
      <w:pPr>
        <w:keepNext w:val="0"/>
        <w:keepLines w:val="0"/>
        <w:pageBreakBefore w:val="0"/>
        <w:kinsoku/>
        <w:wordWrap/>
        <w:overflowPunct/>
        <w:topLinePunct w:val="0"/>
        <w:autoSpaceDE/>
        <w:autoSpaceDN/>
        <w:bidi w:val="0"/>
        <w:adjustRightInd/>
        <w:snapToGrid/>
        <w:spacing w:line="600" w:lineRule="exact"/>
        <w:contextualSpacing/>
        <w:textAlignment w:val="auto"/>
        <w:rPr>
          <w:rFonts w:hint="eastAsia" w:ascii="方正小标宋简体" w:hAnsi="华文中宋" w:eastAsia="方正小标宋简体" w:cs="宋体"/>
          <w:bCs/>
          <w:color w:val="auto"/>
          <w:sz w:val="44"/>
          <w:szCs w:val="44"/>
        </w:rPr>
      </w:pPr>
    </w:p>
    <w:p>
      <w:pPr>
        <w:keepNext w:val="0"/>
        <w:keepLines w:val="0"/>
        <w:pageBreakBefore w:val="0"/>
        <w:kinsoku/>
        <w:wordWrap/>
        <w:overflowPunct/>
        <w:topLinePunct w:val="0"/>
        <w:autoSpaceDE/>
        <w:autoSpaceDN/>
        <w:bidi w:val="0"/>
        <w:adjustRightInd/>
        <w:snapToGrid/>
        <w:spacing w:line="600" w:lineRule="exact"/>
        <w:contextualSpacing/>
        <w:jc w:val="center"/>
        <w:textAlignment w:val="auto"/>
        <w:rPr>
          <w:rFonts w:hint="eastAsia" w:ascii="方正小标宋简体" w:hAnsi="华文中宋" w:eastAsia="方正小标宋简体" w:cs="宋体"/>
          <w:bCs/>
          <w:color w:val="auto"/>
          <w:sz w:val="44"/>
          <w:szCs w:val="44"/>
        </w:rPr>
      </w:pPr>
    </w:p>
    <w:p>
      <w:pPr>
        <w:keepNext w:val="0"/>
        <w:keepLines w:val="0"/>
        <w:pageBreakBefore w:val="0"/>
        <w:kinsoku/>
        <w:wordWrap/>
        <w:overflowPunct/>
        <w:topLinePunct w:val="0"/>
        <w:autoSpaceDE/>
        <w:autoSpaceDN/>
        <w:bidi w:val="0"/>
        <w:adjustRightInd/>
        <w:snapToGrid/>
        <w:spacing w:line="600" w:lineRule="exact"/>
        <w:contextualSpacing/>
        <w:jc w:val="center"/>
        <w:textAlignment w:val="auto"/>
        <w:rPr>
          <w:rFonts w:hint="eastAsia" w:ascii="方正小标宋简体" w:hAnsi="华文中宋" w:eastAsia="方正小标宋简体" w:cs="宋体"/>
          <w:bCs/>
          <w:color w:val="auto"/>
          <w:sz w:val="44"/>
          <w:szCs w:val="44"/>
        </w:rPr>
      </w:pPr>
      <w:r>
        <w:rPr>
          <w:rFonts w:hint="eastAsia" w:ascii="方正小标宋简体" w:hAnsi="华文中宋" w:eastAsia="方正小标宋简体" w:cs="宋体"/>
          <w:bCs/>
          <w:color w:val="auto"/>
          <w:sz w:val="44"/>
          <w:szCs w:val="44"/>
        </w:rPr>
        <w:t>有固定生产经营场所且具有</w:t>
      </w:r>
    </w:p>
    <w:p>
      <w:pPr>
        <w:keepNext w:val="0"/>
        <w:keepLines w:val="0"/>
        <w:pageBreakBefore w:val="0"/>
        <w:kinsoku/>
        <w:wordWrap/>
        <w:overflowPunct/>
        <w:topLinePunct w:val="0"/>
        <w:autoSpaceDE/>
        <w:autoSpaceDN/>
        <w:bidi w:val="0"/>
        <w:adjustRightInd/>
        <w:snapToGrid/>
        <w:spacing w:line="600" w:lineRule="exact"/>
        <w:contextualSpacing/>
        <w:jc w:val="center"/>
        <w:textAlignment w:val="auto"/>
        <w:rPr>
          <w:rFonts w:hint="eastAsia" w:ascii="方正小标宋简体" w:hAnsi="华文中宋" w:eastAsia="方正小标宋简体" w:cs="宋体"/>
          <w:bCs/>
          <w:color w:val="auto"/>
          <w:sz w:val="44"/>
          <w:szCs w:val="44"/>
        </w:rPr>
      </w:pPr>
      <w:r>
        <w:rPr>
          <w:rFonts w:hint="eastAsia" w:ascii="方正小标宋简体" w:hAnsi="华文中宋" w:eastAsia="方正小标宋简体" w:cs="宋体"/>
          <w:bCs/>
          <w:color w:val="auto"/>
          <w:sz w:val="44"/>
          <w:szCs w:val="44"/>
        </w:rPr>
        <w:t>一定规模的个体工商户界定标准</w:t>
      </w:r>
    </w:p>
    <w:p>
      <w:pPr>
        <w:keepNext w:val="0"/>
        <w:keepLines w:val="0"/>
        <w:pageBreakBefore w:val="0"/>
        <w:kinsoku/>
        <w:wordWrap/>
        <w:overflowPunct/>
        <w:topLinePunct w:val="0"/>
        <w:autoSpaceDE/>
        <w:autoSpaceDN/>
        <w:bidi w:val="0"/>
        <w:adjustRightInd/>
        <w:snapToGrid/>
        <w:spacing w:line="600" w:lineRule="exact"/>
        <w:contextualSpacing/>
        <w:jc w:val="center"/>
        <w:textAlignment w:val="auto"/>
        <w:rPr>
          <w:rFonts w:hint="eastAsia" w:ascii="楷体_GB2312" w:hAnsi="华文中宋" w:eastAsia="楷体_GB2312" w:cs="宋体"/>
          <w:bCs/>
          <w:color w:val="auto"/>
          <w:sz w:val="32"/>
          <w:szCs w:val="32"/>
        </w:rPr>
      </w:pPr>
      <w:r>
        <w:rPr>
          <w:rFonts w:hint="eastAsia" w:ascii="楷体_GB2312" w:hAnsi="华文中宋" w:eastAsia="楷体_GB2312" w:cs="宋体"/>
          <w:bCs/>
          <w:color w:val="auto"/>
          <w:sz w:val="32"/>
          <w:szCs w:val="32"/>
        </w:rPr>
        <w:t>（2013年8月修订）</w:t>
      </w:r>
    </w:p>
    <w:p>
      <w:pPr>
        <w:keepNext w:val="0"/>
        <w:keepLines w:val="0"/>
        <w:pageBreakBefore w:val="0"/>
        <w:kinsoku/>
        <w:wordWrap/>
        <w:overflowPunct/>
        <w:topLinePunct w:val="0"/>
        <w:autoSpaceDE/>
        <w:autoSpaceDN/>
        <w:bidi w:val="0"/>
        <w:adjustRightInd/>
        <w:snapToGrid/>
        <w:spacing w:line="600" w:lineRule="exact"/>
        <w:contextualSpacing/>
        <w:jc w:val="center"/>
        <w:textAlignment w:val="auto"/>
        <w:rPr>
          <w:rFonts w:hint="eastAsia" w:ascii="方正小标宋简体" w:hAnsi="华文中宋" w:eastAsia="方正小标宋简体" w:cs="宋体"/>
          <w:bCs/>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olor w:val="auto"/>
          <w:kern w:val="0"/>
          <w:sz w:val="32"/>
          <w:szCs w:val="32"/>
        </w:rPr>
      </w:pPr>
      <w:r>
        <w:rPr>
          <w:rFonts w:hint="eastAsia" w:ascii="仿宋_GB2312" w:eastAsia="仿宋_GB2312"/>
          <w:color w:val="auto"/>
          <w:sz w:val="32"/>
          <w:szCs w:val="32"/>
        </w:rPr>
        <w:t>按照《消防监督检查规定》（公安部令第120号）第三十九条之规定，对</w:t>
      </w:r>
      <w:r>
        <w:rPr>
          <w:rFonts w:hint="eastAsia" w:ascii="仿宋_GB2312" w:eastAsia="仿宋_GB2312"/>
          <w:color w:val="auto"/>
          <w:kern w:val="0"/>
          <w:sz w:val="32"/>
          <w:szCs w:val="32"/>
        </w:rPr>
        <w:t>应当纳入消防监督检查范围的有固定生产经营场所且具有一定规模的个体工商户标准界定如下：</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一、个体经营的歌舞厅、录像厅、夜总会、放映厅、卡拉OK厅(含具有卡拉OK功能的餐厅)、游艺厅(含电子游艺厅)、桑拿浴室、网吧等歌舞娱乐放映游艺场所；</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二、客房床位数在50张以上的旅馆业经营户； </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三、建筑面积在300平方米以上的商店、超市经营户； </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四、个体经营的易燃易爆危险场所，包括化工商店、汽车加油站、加气站、液化石油气供应站（换瓶站）等； </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五、其他经营场所建筑面积500平方米以上营业性的个体工商户。</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olor w:val="auto"/>
          <w:sz w:val="32"/>
          <w:szCs w:val="32"/>
        </w:rPr>
      </w:pPr>
      <w:r>
        <w:rPr>
          <w:rFonts w:hint="eastAsia" w:ascii="仿宋_GB2312" w:eastAsia="仿宋_GB2312"/>
          <w:color w:val="auto"/>
          <w:sz w:val="32"/>
          <w:szCs w:val="32"/>
        </w:rPr>
        <w:t>本标准所称“以上”，均包含本数或本级。</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本标准自发布之日起施行。2004年9月印发的《宁夏回族自治区公众聚集场所消防安全检查及个体工商户消防监督范围界定标准》同时废止。</w:t>
      </w: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contextualSpacing/>
        <w:textAlignment w:val="auto"/>
        <w:rPr>
          <w:rFonts w:hint="eastAsia" w:ascii="仿宋_GB2312" w:eastAsia="仿宋_GB2312"/>
          <w:color w:val="auto"/>
          <w:kern w:val="0"/>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宋体" w:hAnsi="宋体" w:eastAsia="宋体" w:cs="宋体"/>
          <w:i w:val="0"/>
          <w:iCs w:val="0"/>
          <w:caps w:val="0"/>
          <w:color w:val="auto"/>
          <w:spacing w:val="0"/>
          <w:sz w:val="32"/>
          <w:szCs w:val="32"/>
        </w:rPr>
      </w:pPr>
    </w:p>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NTFmY2YzZDRmZTM1MzI4NDI5ZDA1YmE3NTQ4NmEifQ=="/>
  </w:docVars>
  <w:rsids>
    <w:rsidRoot w:val="1A785609"/>
    <w:rsid w:val="1A785609"/>
    <w:rsid w:val="731B5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2024-02-09T01:34:00Z</dcterms:created>
  <dc:creator>刘小青</dc:creator>
  <cp:lastModifiedBy>罗成玉</cp:lastModifiedBy>
  <dcterms:modified xsi:type="dcterms:W3CDTF">2024-03-06T07:20:30Z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0939765486F245E5A17B81A17E114660_11</vt:lpwstr>
  </property>
</Properties>
</file>