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right="0"/>
        <w:jc w:val="left"/>
        <w:rPr>
          <w:rFonts w:hint="eastAsia" w:ascii="宋体" w:hAnsi="宋体" w:eastAsia="宋体" w:cs="宋体"/>
          <w:i w:val="0"/>
          <w:iCs w:val="0"/>
          <w:caps w:val="0"/>
          <w:color w:val="auto"/>
          <w:spacing w:val="0"/>
          <w:sz w:val="32"/>
          <w:szCs w:val="32"/>
          <w:lang w:val="en-US" w:eastAsia="zh-CN"/>
        </w:rPr>
      </w:pPr>
      <w:r>
        <w:rPr>
          <w:rFonts w:hint="eastAsia" w:ascii="宋体" w:hAnsi="宋体" w:eastAsia="宋体" w:cs="宋体"/>
          <w:i w:val="0"/>
          <w:iCs w:val="0"/>
          <w:caps w:val="0"/>
          <w:color w:val="auto"/>
          <w:spacing w:val="0"/>
          <w:sz w:val="32"/>
          <w:szCs w:val="32"/>
          <w:lang w:eastAsia="zh-CN"/>
        </w:rPr>
        <w:t>附件</w:t>
      </w:r>
      <w:r>
        <w:rPr>
          <w:rFonts w:hint="eastAsia" w:ascii="宋体" w:hAnsi="宋体" w:eastAsia="宋体" w:cs="宋体"/>
          <w:i w:val="0"/>
          <w:iCs w:val="0"/>
          <w:caps w:val="0"/>
          <w:color w:val="auto"/>
          <w:spacing w:val="0"/>
          <w:sz w:val="32"/>
          <w:szCs w:val="32"/>
          <w:lang w:val="en-US" w:eastAsia="zh-CN"/>
        </w:rPr>
        <w:t>4：</w:t>
      </w:r>
    </w:p>
    <w:p>
      <w:pPr>
        <w:spacing w:line="600" w:lineRule="exact"/>
        <w:jc w:val="center"/>
        <w:rPr>
          <w:rFonts w:ascii="方正小标宋简体" w:hAnsi="宋体" w:eastAsia="方正小标宋简体" w:cs="幼圆"/>
          <w:bCs/>
          <w:color w:val="auto"/>
          <w:sz w:val="44"/>
          <w:szCs w:val="44"/>
        </w:rPr>
      </w:pPr>
      <w:r>
        <w:rPr>
          <w:rFonts w:hint="eastAsia" w:ascii="方正小标宋简体" w:hAnsi="宋体" w:eastAsia="方正小标宋简体" w:cs="幼圆"/>
          <w:bCs/>
          <w:color w:val="auto"/>
          <w:sz w:val="44"/>
          <w:szCs w:val="44"/>
        </w:rPr>
        <w:t>银川市</w:t>
      </w:r>
      <w:r>
        <w:rPr>
          <w:rFonts w:hint="eastAsia" w:ascii="方正小标宋简体" w:hAnsi="宋体" w:eastAsia="方正小标宋简体" w:cs="幼圆"/>
          <w:bCs/>
          <w:color w:val="auto"/>
          <w:sz w:val="44"/>
          <w:szCs w:val="44"/>
          <w:lang w:eastAsia="zh-CN"/>
        </w:rPr>
        <w:t>兴庆区</w:t>
      </w:r>
      <w:r>
        <w:rPr>
          <w:rFonts w:hint="eastAsia" w:ascii="方正小标宋简体" w:hAnsi="宋体" w:eastAsia="方正小标宋简体" w:cs="幼圆"/>
          <w:bCs/>
          <w:color w:val="auto"/>
          <w:sz w:val="44"/>
          <w:szCs w:val="44"/>
        </w:rPr>
        <w:t>消防安全重点单位申报表</w:t>
      </w:r>
    </w:p>
    <w:tbl>
      <w:tblPr>
        <w:tblStyle w:val="3"/>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709"/>
        <w:gridCol w:w="715"/>
        <w:gridCol w:w="419"/>
        <w:gridCol w:w="1845"/>
        <w:gridCol w:w="1276"/>
        <w:gridCol w:w="70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274" w:type="dxa"/>
            <w:gridSpan w:val="2"/>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单位名称</w:t>
            </w:r>
          </w:p>
        </w:tc>
        <w:tc>
          <w:tcPr>
            <w:tcW w:w="2979" w:type="dxa"/>
            <w:gridSpan w:val="3"/>
            <w:noWrap w:val="0"/>
            <w:vAlign w:val="center"/>
          </w:tcPr>
          <w:p>
            <w:pPr>
              <w:spacing w:line="240" w:lineRule="exact"/>
              <w:jc w:val="center"/>
              <w:rPr>
                <w:rFonts w:ascii="仿宋_GB2312" w:hAnsi="Times New Roman" w:eastAsia="仿宋_GB2312" w:cs="仿宋_GB2312"/>
                <w:color w:val="auto"/>
                <w:sz w:val="21"/>
                <w:szCs w:val="21"/>
              </w:rPr>
            </w:pPr>
          </w:p>
        </w:tc>
        <w:tc>
          <w:tcPr>
            <w:tcW w:w="1276"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联系电话</w:t>
            </w:r>
          </w:p>
        </w:tc>
        <w:tc>
          <w:tcPr>
            <w:tcW w:w="3685" w:type="dxa"/>
            <w:gridSpan w:val="2"/>
            <w:noWrap w:val="0"/>
            <w:vAlign w:val="center"/>
          </w:tcPr>
          <w:p>
            <w:pPr>
              <w:spacing w:line="240" w:lineRule="exact"/>
              <w:jc w:val="center"/>
              <w:rPr>
                <w:rFonts w:ascii="仿宋_GB2312" w:hAnsi="Times New Roman"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274" w:type="dxa"/>
            <w:gridSpan w:val="2"/>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地址</w:t>
            </w:r>
          </w:p>
        </w:tc>
        <w:tc>
          <w:tcPr>
            <w:tcW w:w="2979" w:type="dxa"/>
            <w:gridSpan w:val="3"/>
            <w:noWrap w:val="0"/>
            <w:vAlign w:val="center"/>
          </w:tcPr>
          <w:p>
            <w:pPr>
              <w:spacing w:line="240" w:lineRule="exact"/>
              <w:jc w:val="center"/>
              <w:rPr>
                <w:rFonts w:ascii="仿宋_GB2312" w:hAnsi="Times New Roman" w:eastAsia="仿宋_GB2312" w:cs="仿宋_GB2312"/>
                <w:color w:val="auto"/>
                <w:sz w:val="21"/>
                <w:szCs w:val="21"/>
              </w:rPr>
            </w:pPr>
          </w:p>
        </w:tc>
        <w:tc>
          <w:tcPr>
            <w:tcW w:w="1276"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邮编</w:t>
            </w:r>
          </w:p>
        </w:tc>
        <w:tc>
          <w:tcPr>
            <w:tcW w:w="3685" w:type="dxa"/>
            <w:gridSpan w:val="2"/>
            <w:noWrap w:val="0"/>
            <w:vAlign w:val="center"/>
          </w:tcPr>
          <w:p>
            <w:pPr>
              <w:spacing w:line="240" w:lineRule="exact"/>
              <w:jc w:val="center"/>
              <w:rPr>
                <w:rFonts w:ascii="仿宋_GB2312" w:hAnsi="Times New Roman"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274" w:type="dxa"/>
            <w:gridSpan w:val="2"/>
            <w:vMerge w:val="restart"/>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消防安全责任人</w:t>
            </w:r>
          </w:p>
        </w:tc>
        <w:tc>
          <w:tcPr>
            <w:tcW w:w="715"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 xml:space="preserve">姓名 </w:t>
            </w:r>
          </w:p>
        </w:tc>
        <w:tc>
          <w:tcPr>
            <w:tcW w:w="2264" w:type="dxa"/>
            <w:gridSpan w:val="2"/>
            <w:noWrap w:val="0"/>
            <w:vAlign w:val="center"/>
          </w:tcPr>
          <w:p>
            <w:pPr>
              <w:spacing w:line="240" w:lineRule="exact"/>
              <w:jc w:val="center"/>
              <w:rPr>
                <w:rFonts w:ascii="仿宋_GB2312" w:hAnsi="Times New Roman" w:eastAsia="仿宋_GB2312" w:cs="仿宋_GB2312"/>
                <w:color w:val="auto"/>
                <w:sz w:val="21"/>
                <w:szCs w:val="21"/>
              </w:rPr>
            </w:pPr>
          </w:p>
        </w:tc>
        <w:tc>
          <w:tcPr>
            <w:tcW w:w="1276" w:type="dxa"/>
            <w:vMerge w:val="restart"/>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消防安全管理人</w:t>
            </w:r>
          </w:p>
        </w:tc>
        <w:tc>
          <w:tcPr>
            <w:tcW w:w="708"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 xml:space="preserve">姓名 </w:t>
            </w:r>
          </w:p>
        </w:tc>
        <w:tc>
          <w:tcPr>
            <w:tcW w:w="2977" w:type="dxa"/>
            <w:noWrap w:val="0"/>
            <w:vAlign w:val="center"/>
          </w:tcPr>
          <w:p>
            <w:pPr>
              <w:spacing w:line="240" w:lineRule="exact"/>
              <w:jc w:val="center"/>
              <w:rPr>
                <w:rFonts w:ascii="仿宋_GB2312" w:hAnsi="Times New Roman"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274" w:type="dxa"/>
            <w:gridSpan w:val="2"/>
            <w:vMerge w:val="continue"/>
            <w:noWrap w:val="0"/>
            <w:vAlign w:val="center"/>
          </w:tcPr>
          <w:p>
            <w:pPr>
              <w:spacing w:line="240" w:lineRule="exact"/>
              <w:jc w:val="center"/>
              <w:rPr>
                <w:rFonts w:ascii="仿宋_GB2312" w:hAnsi="Times New Roman" w:eastAsia="仿宋_GB2312" w:cs="仿宋_GB2312"/>
                <w:color w:val="auto"/>
                <w:sz w:val="21"/>
                <w:szCs w:val="21"/>
              </w:rPr>
            </w:pPr>
          </w:p>
        </w:tc>
        <w:tc>
          <w:tcPr>
            <w:tcW w:w="715"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职务</w:t>
            </w:r>
          </w:p>
        </w:tc>
        <w:tc>
          <w:tcPr>
            <w:tcW w:w="2264" w:type="dxa"/>
            <w:gridSpan w:val="2"/>
            <w:noWrap w:val="0"/>
            <w:vAlign w:val="center"/>
          </w:tcPr>
          <w:p>
            <w:pPr>
              <w:spacing w:line="240" w:lineRule="exact"/>
              <w:jc w:val="center"/>
              <w:rPr>
                <w:rFonts w:ascii="仿宋_GB2312" w:hAnsi="Times New Roman" w:eastAsia="仿宋_GB2312" w:cs="仿宋_GB2312"/>
                <w:color w:val="auto"/>
                <w:sz w:val="21"/>
                <w:szCs w:val="21"/>
              </w:rPr>
            </w:pPr>
          </w:p>
        </w:tc>
        <w:tc>
          <w:tcPr>
            <w:tcW w:w="1276" w:type="dxa"/>
            <w:vMerge w:val="continue"/>
            <w:noWrap w:val="0"/>
            <w:vAlign w:val="center"/>
          </w:tcPr>
          <w:p>
            <w:pPr>
              <w:spacing w:line="240" w:lineRule="exact"/>
              <w:jc w:val="center"/>
              <w:rPr>
                <w:rFonts w:ascii="仿宋_GB2312" w:hAnsi="Times New Roman" w:eastAsia="仿宋_GB2312" w:cs="仿宋_GB2312"/>
                <w:color w:val="auto"/>
                <w:sz w:val="21"/>
                <w:szCs w:val="21"/>
              </w:rPr>
            </w:pPr>
          </w:p>
        </w:tc>
        <w:tc>
          <w:tcPr>
            <w:tcW w:w="708"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职务</w:t>
            </w:r>
          </w:p>
        </w:tc>
        <w:tc>
          <w:tcPr>
            <w:tcW w:w="2977" w:type="dxa"/>
            <w:noWrap w:val="0"/>
            <w:vAlign w:val="center"/>
          </w:tcPr>
          <w:p>
            <w:pPr>
              <w:spacing w:line="240" w:lineRule="exact"/>
              <w:jc w:val="center"/>
              <w:rPr>
                <w:rFonts w:ascii="仿宋_GB2312" w:hAnsi="Times New Roman"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274" w:type="dxa"/>
            <w:gridSpan w:val="2"/>
            <w:vMerge w:val="continue"/>
            <w:noWrap w:val="0"/>
            <w:vAlign w:val="center"/>
          </w:tcPr>
          <w:p>
            <w:pPr>
              <w:spacing w:line="240" w:lineRule="exact"/>
              <w:jc w:val="center"/>
              <w:rPr>
                <w:rFonts w:ascii="仿宋_GB2312" w:hAnsi="Times New Roman" w:eastAsia="仿宋_GB2312" w:cs="仿宋_GB2312"/>
                <w:color w:val="auto"/>
                <w:sz w:val="21"/>
                <w:szCs w:val="21"/>
              </w:rPr>
            </w:pPr>
          </w:p>
        </w:tc>
        <w:tc>
          <w:tcPr>
            <w:tcW w:w="715"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电话</w:t>
            </w:r>
          </w:p>
        </w:tc>
        <w:tc>
          <w:tcPr>
            <w:tcW w:w="2264" w:type="dxa"/>
            <w:gridSpan w:val="2"/>
            <w:noWrap w:val="0"/>
            <w:vAlign w:val="center"/>
          </w:tcPr>
          <w:p>
            <w:pPr>
              <w:spacing w:line="240" w:lineRule="exact"/>
              <w:jc w:val="center"/>
              <w:rPr>
                <w:rFonts w:ascii="仿宋_GB2312" w:hAnsi="Times New Roman" w:eastAsia="仿宋_GB2312" w:cs="仿宋_GB2312"/>
                <w:color w:val="auto"/>
                <w:sz w:val="21"/>
                <w:szCs w:val="21"/>
              </w:rPr>
            </w:pPr>
          </w:p>
        </w:tc>
        <w:tc>
          <w:tcPr>
            <w:tcW w:w="1276" w:type="dxa"/>
            <w:vMerge w:val="continue"/>
            <w:noWrap w:val="0"/>
            <w:vAlign w:val="center"/>
          </w:tcPr>
          <w:p>
            <w:pPr>
              <w:spacing w:line="240" w:lineRule="exact"/>
              <w:jc w:val="center"/>
              <w:rPr>
                <w:rFonts w:ascii="仿宋_GB2312" w:hAnsi="Times New Roman" w:eastAsia="仿宋_GB2312" w:cs="仿宋_GB2312"/>
                <w:color w:val="auto"/>
                <w:sz w:val="21"/>
                <w:szCs w:val="21"/>
              </w:rPr>
            </w:pPr>
          </w:p>
        </w:tc>
        <w:tc>
          <w:tcPr>
            <w:tcW w:w="708"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电话</w:t>
            </w:r>
          </w:p>
        </w:tc>
        <w:tc>
          <w:tcPr>
            <w:tcW w:w="2977" w:type="dxa"/>
            <w:noWrap w:val="0"/>
            <w:vAlign w:val="center"/>
          </w:tcPr>
          <w:p>
            <w:pPr>
              <w:spacing w:line="240" w:lineRule="exact"/>
              <w:jc w:val="center"/>
              <w:rPr>
                <w:rFonts w:ascii="仿宋_GB2312" w:hAnsi="Times New Roman"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08" w:type="dxa"/>
            <w:gridSpan w:val="4"/>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消防工作归口管理部门</w:t>
            </w:r>
          </w:p>
        </w:tc>
        <w:tc>
          <w:tcPr>
            <w:tcW w:w="1845" w:type="dxa"/>
            <w:noWrap w:val="0"/>
            <w:vAlign w:val="center"/>
          </w:tcPr>
          <w:p>
            <w:pPr>
              <w:spacing w:line="240" w:lineRule="exact"/>
              <w:jc w:val="center"/>
              <w:rPr>
                <w:rFonts w:ascii="仿宋_GB2312" w:hAnsi="Times New Roman" w:eastAsia="仿宋_GB2312" w:cs="仿宋_GB2312"/>
                <w:color w:val="auto"/>
                <w:sz w:val="21"/>
                <w:szCs w:val="21"/>
              </w:rPr>
            </w:pPr>
          </w:p>
        </w:tc>
        <w:tc>
          <w:tcPr>
            <w:tcW w:w="1276" w:type="dxa"/>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部门负责人</w:t>
            </w:r>
          </w:p>
        </w:tc>
        <w:tc>
          <w:tcPr>
            <w:tcW w:w="3685" w:type="dxa"/>
            <w:gridSpan w:val="2"/>
            <w:noWrap w:val="0"/>
            <w:vAlign w:val="center"/>
          </w:tcPr>
          <w:p>
            <w:pPr>
              <w:spacing w:line="240" w:lineRule="exact"/>
              <w:jc w:val="center"/>
              <w:rPr>
                <w:rFonts w:ascii="仿宋_GB2312" w:hAnsi="Times New Roman"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08" w:type="dxa"/>
            <w:gridSpan w:val="4"/>
            <w:noWrap w:val="0"/>
            <w:vAlign w:val="center"/>
          </w:tcPr>
          <w:p>
            <w:pPr>
              <w:spacing w:line="240" w:lineRule="exact"/>
              <w:jc w:val="center"/>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是否原消防重点单位</w:t>
            </w:r>
          </w:p>
        </w:tc>
        <w:tc>
          <w:tcPr>
            <w:tcW w:w="6806" w:type="dxa"/>
            <w:gridSpan w:val="4"/>
            <w:noWrap w:val="0"/>
            <w:vAlign w:val="center"/>
          </w:tcPr>
          <w:p>
            <w:pPr>
              <w:spacing w:line="240" w:lineRule="exact"/>
              <w:jc w:val="center"/>
              <w:rPr>
                <w:rFonts w:ascii="仿宋_GB2312" w:hAnsi="Times New Roman"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restart"/>
            <w:noWrap w:val="0"/>
            <w:vAlign w:val="center"/>
          </w:tcPr>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申</w:t>
            </w: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报</w:t>
            </w: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单</w:t>
            </w: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位</w:t>
            </w: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属</w:t>
            </w: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性</w:t>
            </w: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一、宾（旅）馆、饭店、商场、集贸市场、体育场馆、会堂以及公共娱乐场所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宋体" w:eastAsia="仿宋_GB2312" w:cs="仿宋_GB2312"/>
                <w:color w:val="auto"/>
                <w:sz w:val="21"/>
                <w:szCs w:val="21"/>
              </w:rPr>
            </w:pPr>
            <w:r>
              <w:rPr>
                <w:rFonts w:hint="eastAsia" w:ascii="宋体" w:hAnsi="宋体" w:eastAsia="仿宋_GB2312" w:cs="仿宋_GB2312"/>
                <w:color w:val="auto"/>
                <w:sz w:val="21"/>
                <w:szCs w:val="21"/>
              </w:rPr>
              <w:t>□</w:t>
            </w:r>
            <w:r>
              <w:rPr>
                <w:rFonts w:hint="eastAsia" w:ascii="仿宋_GB2312" w:hAnsi="Times New Roman" w:eastAsia="仿宋_GB2312" w:cs="仿宋_GB2312"/>
                <w:color w:val="auto"/>
                <w:sz w:val="21"/>
                <w:szCs w:val="21"/>
              </w:rPr>
              <w:t>星级以上或总建筑面积</w:t>
            </w:r>
            <w:r>
              <w:rPr>
                <w:rFonts w:hint="eastAsia" w:ascii="宋体" w:hAnsi="宋体" w:eastAsia="仿宋_GB2312" w:cs="仿宋_GB2312"/>
                <w:color w:val="auto"/>
                <w:sz w:val="21"/>
                <w:szCs w:val="21"/>
              </w:rPr>
              <w:t>≥</w:t>
            </w:r>
            <w:r>
              <w:rPr>
                <w:rFonts w:ascii="Times New Roman" w:hAnsi="Times New Roman" w:eastAsia="仿宋_GB2312"/>
                <w:color w:val="auto"/>
                <w:sz w:val="21"/>
                <w:szCs w:val="21"/>
              </w:rPr>
              <w:t>5000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仿宋_GB2312" w:hAnsi="Times New Roman" w:eastAsia="仿宋_GB2312" w:cs="仿宋_GB2312"/>
                <w:color w:val="auto"/>
                <w:sz w:val="21"/>
                <w:szCs w:val="21"/>
              </w:rPr>
              <w:t>酒店、宾（旅）馆、饭店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rPr>
                <w:rFonts w:ascii="Times New Roman" w:hAnsi="Times New Roman" w:eastAsia="仿宋体"/>
                <w:color w:val="auto"/>
                <w:szCs w:val="32"/>
              </w:rPr>
            </w:pPr>
            <w:r>
              <w:rPr>
                <w:rFonts w:hint="eastAsia" w:ascii="宋体" w:hAnsi="宋体" w:eastAsia="仿宋_GB2312" w:cs="仿宋_GB2312"/>
                <w:color w:val="auto"/>
                <w:sz w:val="21"/>
                <w:szCs w:val="21"/>
              </w:rPr>
              <w:t>□</w:t>
            </w:r>
            <w:r>
              <w:rPr>
                <w:rFonts w:hint="eastAsia" w:ascii="仿宋_GB2312" w:hAnsi="Times New Roman" w:eastAsia="仿宋_GB2312" w:cs="仿宋_GB2312"/>
                <w:color w:val="auto"/>
                <w:sz w:val="21"/>
                <w:szCs w:val="21"/>
              </w:rPr>
              <w:t>建筑面积</w:t>
            </w:r>
            <w:r>
              <w:rPr>
                <w:rFonts w:hint="eastAsia" w:ascii="宋体" w:hAnsi="宋体" w:eastAsia="仿宋_GB2312" w:cs="仿宋_GB2312"/>
                <w:color w:val="auto"/>
                <w:sz w:val="21"/>
                <w:szCs w:val="21"/>
              </w:rPr>
              <w:t>≥</w:t>
            </w:r>
            <w:r>
              <w:rPr>
                <w:rFonts w:ascii="Times New Roman" w:hAnsi="Times New Roman" w:eastAsia="仿宋_GB2312"/>
                <w:color w:val="auto"/>
                <w:sz w:val="21"/>
                <w:szCs w:val="21"/>
              </w:rPr>
              <w:t>2000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仿宋_GB2312" w:hAnsi="Times New Roman" w:eastAsia="仿宋_GB2312" w:cs="仿宋_GB2312"/>
                <w:color w:val="auto"/>
                <w:sz w:val="21"/>
                <w:szCs w:val="21"/>
              </w:rPr>
              <w:t>商场和占地面积</w:t>
            </w:r>
            <w:r>
              <w:rPr>
                <w:rFonts w:hint="eastAsia" w:ascii="宋体" w:hAnsi="宋体" w:eastAsia="仿宋_GB2312" w:cs="仿宋_GB2312"/>
                <w:color w:val="auto"/>
                <w:sz w:val="21"/>
                <w:szCs w:val="21"/>
              </w:rPr>
              <w:t>≥</w:t>
            </w:r>
            <w:r>
              <w:rPr>
                <w:rFonts w:ascii="Times New Roman" w:hAnsi="Times New Roman" w:eastAsia="仿宋_GB2312"/>
                <w:color w:val="auto"/>
                <w:sz w:val="21"/>
                <w:szCs w:val="21"/>
              </w:rPr>
              <w:t>5000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仿宋_GB2312" w:hAnsi="Times New Roman" w:eastAsia="仿宋_GB2312" w:cs="仿宋_GB2312"/>
                <w:color w:val="auto"/>
                <w:sz w:val="21"/>
                <w:szCs w:val="21"/>
              </w:rPr>
              <w:t>集贸市场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w:t>
            </w:r>
            <w:r>
              <w:rPr>
                <w:rFonts w:hint="eastAsia" w:ascii="仿宋_GB2312" w:hAnsi="Times New Roman" w:eastAsia="仿宋_GB2312" w:cs="仿宋_GB2312"/>
                <w:color w:val="auto"/>
                <w:sz w:val="21"/>
                <w:szCs w:val="21"/>
              </w:rPr>
              <w:t>对公众开放的体育（场）馆、会堂  □建筑面积≥</w:t>
            </w:r>
            <w:r>
              <w:rPr>
                <w:rFonts w:ascii="仿宋_GB2312" w:hAnsi="Times New Roman" w:eastAsia="仿宋_GB2312" w:cs="仿宋_GB2312"/>
                <w:color w:val="auto"/>
                <w:sz w:val="21"/>
                <w:szCs w:val="21"/>
              </w:rPr>
              <w:t>2500m</w:t>
            </w:r>
            <w:r>
              <w:rPr>
                <w:rFonts w:hint="eastAsia" w:ascii="宋体" w:hAnsi="宋体" w:eastAsia="宋体" w:cs="宋体"/>
                <w:color w:val="auto"/>
                <w:sz w:val="21"/>
                <w:szCs w:val="21"/>
              </w:rPr>
              <w:t>²</w:t>
            </w:r>
            <w:r>
              <w:rPr>
                <w:rFonts w:hint="eastAsia" w:ascii="仿宋_GB2312" w:hAnsi="仿宋_GB2312" w:eastAsia="仿宋_GB2312" w:cs="仿宋_GB2312"/>
                <w:color w:val="auto"/>
                <w:sz w:val="21"/>
                <w:szCs w:val="21"/>
              </w:rPr>
              <w:t>的影剧院、放映厅（录像厅）、礼堂等演出、放映场所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□场所建筑面积≥</w:t>
            </w:r>
            <w:r>
              <w:rPr>
                <w:rFonts w:ascii="仿宋_GB2312" w:hAnsi="Times New Roman" w:eastAsia="仿宋_GB2312" w:cs="仿宋_GB2312"/>
                <w:color w:val="auto"/>
                <w:sz w:val="21"/>
                <w:szCs w:val="21"/>
              </w:rPr>
              <w:t>500m</w:t>
            </w:r>
            <w:r>
              <w:rPr>
                <w:rFonts w:hint="eastAsia" w:ascii="宋体" w:hAnsi="宋体" w:eastAsia="宋体" w:cs="宋体"/>
                <w:color w:val="auto"/>
                <w:sz w:val="21"/>
                <w:szCs w:val="21"/>
              </w:rPr>
              <w:t>²</w:t>
            </w:r>
            <w:r>
              <w:rPr>
                <w:rFonts w:hint="eastAsia" w:ascii="仿宋_GB2312" w:hAnsi="仿宋_GB2312" w:eastAsia="仿宋_GB2312" w:cs="仿宋_GB2312"/>
                <w:color w:val="auto"/>
                <w:sz w:val="21"/>
                <w:szCs w:val="21"/>
              </w:rPr>
              <w:t>的歌舞厅、夜总会、卡拉</w:t>
            </w:r>
            <w:r>
              <w:rPr>
                <w:rFonts w:ascii="仿宋_GB2312" w:hAnsi="Times New Roman" w:eastAsia="仿宋_GB2312" w:cs="仿宋_GB2312"/>
                <w:color w:val="auto"/>
                <w:sz w:val="21"/>
                <w:szCs w:val="21"/>
              </w:rPr>
              <w:t>OK</w:t>
            </w:r>
            <w:r>
              <w:rPr>
                <w:rFonts w:hint="eastAsia" w:ascii="仿宋_GB2312" w:hAnsi="Times New Roman" w:eastAsia="仿宋_GB2312" w:cs="仿宋_GB2312"/>
                <w:color w:val="auto"/>
                <w:sz w:val="21"/>
                <w:szCs w:val="21"/>
              </w:rPr>
              <w:t xml:space="preserve">厅、音乐茶座等歌舞娱乐场所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□建筑面积≥</w:t>
            </w:r>
            <w:r>
              <w:rPr>
                <w:rFonts w:ascii="仿宋_GB2312" w:hAnsi="Times New Roman" w:eastAsia="仿宋_GB2312" w:cs="仿宋_GB2312"/>
                <w:color w:val="auto"/>
                <w:sz w:val="21"/>
                <w:szCs w:val="21"/>
              </w:rPr>
              <w:t>500m</w:t>
            </w:r>
            <w:r>
              <w:rPr>
                <w:rFonts w:hint="eastAsia" w:ascii="宋体" w:hAnsi="宋体" w:eastAsia="宋体" w:cs="宋体"/>
                <w:color w:val="auto"/>
                <w:sz w:val="21"/>
                <w:szCs w:val="21"/>
              </w:rPr>
              <w:t>²</w:t>
            </w:r>
            <w:r>
              <w:rPr>
                <w:rFonts w:hint="eastAsia" w:ascii="仿宋_GB2312" w:hAnsi="仿宋_GB2312" w:eastAsia="仿宋_GB2312" w:cs="仿宋_GB2312"/>
                <w:color w:val="auto"/>
                <w:sz w:val="21"/>
                <w:szCs w:val="21"/>
              </w:rPr>
              <w:t>的网吧、游艺厅（含电子游艺厅）、棋牌室、桌球房、酒吧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Times New Roman" w:eastAsia="仿宋_GB2312" w:cs="仿宋_GB2312"/>
                <w:color w:val="auto"/>
                <w:w w:val="80"/>
                <w:sz w:val="21"/>
                <w:szCs w:val="21"/>
              </w:rPr>
            </w:pPr>
            <w:r>
              <w:rPr>
                <w:rFonts w:hint="eastAsia" w:ascii="仿宋_GB2312" w:hAnsi="Times New Roman" w:eastAsia="仿宋_GB2312" w:cs="仿宋_GB2312"/>
                <w:color w:val="auto"/>
                <w:sz w:val="21"/>
                <w:szCs w:val="21"/>
              </w:rPr>
              <w:t>□场所建筑面积≥</w:t>
            </w:r>
            <w:r>
              <w:rPr>
                <w:rFonts w:ascii="仿宋_GB2312" w:hAnsi="Times New Roman" w:eastAsia="仿宋_GB2312" w:cs="仿宋_GB2312"/>
                <w:color w:val="auto"/>
                <w:sz w:val="21"/>
                <w:szCs w:val="21"/>
              </w:rPr>
              <w:t>1000m</w:t>
            </w:r>
            <w:r>
              <w:rPr>
                <w:rFonts w:hint="eastAsia" w:ascii="宋体" w:hAnsi="宋体" w:eastAsia="宋体" w:cs="宋体"/>
                <w:color w:val="auto"/>
                <w:sz w:val="21"/>
                <w:szCs w:val="21"/>
              </w:rPr>
              <w:t>²</w:t>
            </w:r>
            <w:r>
              <w:rPr>
                <w:rFonts w:hint="eastAsia" w:ascii="仿宋_GB2312" w:hAnsi="仿宋_GB2312" w:eastAsia="仿宋_GB2312" w:cs="仿宋_GB2312"/>
                <w:color w:val="auto"/>
                <w:sz w:val="21"/>
                <w:szCs w:val="21"/>
              </w:rPr>
              <w:t>的保龄球馆、旱冰场、健身房、洗浴（含桑拿浴、足浴）、美容美发等游艺、游乐场所和营业性健身、美容、休闲场所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宋体" w:eastAsia="仿宋_GB2312" w:cs="仿宋_GB2312"/>
                <w:color w:val="auto"/>
                <w:w w:val="80"/>
                <w:sz w:val="21"/>
                <w:szCs w:val="21"/>
              </w:rPr>
            </w:pPr>
            <w:r>
              <w:rPr>
                <w:rFonts w:hint="eastAsia" w:ascii="宋体" w:hAnsi="宋体" w:eastAsia="仿宋_GB2312" w:cs="仿宋_GB2312"/>
                <w:color w:val="auto"/>
                <w:sz w:val="21"/>
                <w:szCs w:val="21"/>
              </w:rPr>
              <w:t>□建筑面积≥</w:t>
            </w:r>
            <w:r>
              <w:rPr>
                <w:rFonts w:ascii="Times New Roman" w:hAnsi="Times New Roman" w:eastAsia="仿宋_GB2312"/>
                <w:color w:val="auto"/>
                <w:sz w:val="21"/>
                <w:szCs w:val="21"/>
              </w:rPr>
              <w:t>2000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宋体" w:hAnsi="宋体" w:eastAsia="仿宋_GB2312" w:cs="仿宋_GB2312"/>
                <w:color w:val="auto"/>
                <w:sz w:val="21"/>
                <w:szCs w:val="21"/>
              </w:rPr>
              <w:t>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二、医院、养老院（敬老院、养老机构）、福利院和学校、托儿所、幼儿园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Times New Roman" w:eastAsia="仿宋_GB2312" w:cs="仿宋_GB2312"/>
                <w:b/>
                <w:color w:val="auto"/>
                <w:sz w:val="21"/>
                <w:szCs w:val="21"/>
              </w:rPr>
            </w:pPr>
            <w:r>
              <w:rPr>
                <w:rFonts w:hint="eastAsia" w:ascii="宋体" w:hAnsi="宋体" w:eastAsia="仿宋_GB2312" w:cs="仿宋_GB2312"/>
                <w:color w:val="auto"/>
                <w:sz w:val="21"/>
                <w:szCs w:val="21"/>
              </w:rPr>
              <w:t>□二级以上的医院</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□总床位数</w:t>
            </w:r>
            <w:r>
              <w:rPr>
                <w:rFonts w:ascii="Times New Roman" w:hAnsi="Times New Roman" w:eastAsia="仿宋_GB2312"/>
                <w:color w:val="auto"/>
                <w:sz w:val="21"/>
                <w:szCs w:val="21"/>
              </w:rPr>
              <w:t>50</w:t>
            </w:r>
            <w:r>
              <w:rPr>
                <w:rFonts w:hint="eastAsia" w:ascii="宋体" w:hAnsi="宋体" w:eastAsia="仿宋_GB2312" w:cs="仿宋_GB2312"/>
                <w:color w:val="auto"/>
                <w:sz w:val="21"/>
                <w:szCs w:val="21"/>
              </w:rPr>
              <w:t>张以上的养老院（敬老院、养老机构）、福利院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Times New Roman" w:eastAsia="仿宋_GB2312" w:cs="仿宋_GB2312"/>
                <w:b/>
                <w:color w:val="auto"/>
                <w:sz w:val="21"/>
                <w:szCs w:val="21"/>
              </w:rPr>
            </w:pPr>
            <w:r>
              <w:rPr>
                <w:rFonts w:hint="eastAsia" w:ascii="宋体" w:hAnsi="宋体" w:eastAsia="仿宋_GB2312" w:cs="仿宋_GB2312"/>
                <w:color w:val="auto"/>
                <w:sz w:val="21"/>
                <w:szCs w:val="21"/>
              </w:rPr>
              <w:t>□寄宿制托儿所、幼儿园、中小学校（仅提供午休的除外）</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□高等院校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三、国家机关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□县级以上的党委、人大、政府、政协办公场所</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□县级以上人民检察院、人民法院办公场所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宋体" w:eastAsia="仿宋_GB2312" w:cs="仿宋_GB2312"/>
                <w:color w:val="auto"/>
                <w:sz w:val="21"/>
                <w:szCs w:val="21"/>
              </w:rPr>
            </w:pPr>
            <w:r>
              <w:rPr>
                <w:rFonts w:ascii="仿宋_GB2312" w:hAnsi="Times New Roman" w:eastAsia="仿宋_GB2312" w:cs="仿宋_GB2312"/>
                <w:b/>
                <w:color w:val="auto"/>
                <w:sz w:val="21"/>
                <w:szCs w:val="21"/>
              </w:rPr>
              <w:t>四、城镇重要设施场所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□县级以上的防灾调度指挥楼、档案馆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□市级以上广播电台、电视台</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□市级以上邮政、通信枢纽单位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五、城市交通类人员密集场所</w:t>
            </w:r>
            <w:r>
              <w:rPr>
                <w:rFonts w:ascii="仿宋_GB2312" w:hAnsi="Times New Roman" w:eastAsia="仿宋_GB2312" w:cs="仿宋_GB2312"/>
                <w:b/>
                <w:color w:val="auto"/>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Times New Roman" w:eastAsia="仿宋_GB2312" w:cs="仿宋_GB2312"/>
                <w:b/>
                <w:color w:val="auto"/>
                <w:sz w:val="21"/>
                <w:szCs w:val="21"/>
              </w:rPr>
            </w:pPr>
            <w:r>
              <w:rPr>
                <w:rFonts w:hint="eastAsia" w:ascii="宋体" w:hAnsi="宋体" w:eastAsia="仿宋_GB2312" w:cs="仿宋_GB2312"/>
                <w:color w:val="auto"/>
                <w:sz w:val="21"/>
                <w:szCs w:val="21"/>
              </w:rPr>
              <w:t>□侯车室、侯船室建筑面积≥</w:t>
            </w:r>
            <w:r>
              <w:rPr>
                <w:rFonts w:ascii="宋体" w:hAnsi="宋体" w:eastAsia="仿宋_GB2312" w:cs="仿宋_GB2312"/>
                <w:color w:val="auto"/>
                <w:sz w:val="21"/>
                <w:szCs w:val="21"/>
              </w:rPr>
              <w:t>5000m</w:t>
            </w:r>
            <w:r>
              <w:rPr>
                <w:rFonts w:hint="eastAsia" w:ascii="宋体" w:hAnsi="宋体" w:eastAsia="宋体" w:cs="宋体"/>
                <w:color w:val="auto"/>
                <w:sz w:val="21"/>
                <w:szCs w:val="21"/>
              </w:rPr>
              <w:t>²</w:t>
            </w:r>
            <w:r>
              <w:rPr>
                <w:rFonts w:hint="eastAsia" w:ascii="仿宋_GB2312" w:hAnsi="仿宋_GB2312" w:eastAsia="仿宋_GB2312" w:cs="仿宋_GB2312"/>
                <w:color w:val="auto"/>
                <w:sz w:val="21"/>
                <w:szCs w:val="21"/>
              </w:rPr>
              <w:t>的铁路、公路客运车站和船舶客运码头</w:t>
            </w:r>
            <w:r>
              <w:rPr>
                <w:rFonts w:ascii="宋体" w:hAnsi="宋体" w:eastAsia="仿宋_GB2312" w:cs="仿宋_GB2312"/>
                <w:color w:val="auto"/>
                <w:sz w:val="21"/>
                <w:szCs w:val="21"/>
              </w:rPr>
              <w:t xml:space="preserve">  </w:t>
            </w:r>
            <w:r>
              <w:rPr>
                <w:rFonts w:ascii="宋体" w:hAnsi="宋体" w:eastAsia="仿宋_GB2312" w:cs="仿宋_GB2312"/>
                <w:color w:val="auto"/>
                <w:w w:val="9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□设有火灾自动报警系统的交通隧道</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 xml:space="preserve">     □民用机场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六、公共图书馆、展览馆、博物馆、文物保护单位和旅游景区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w w:val="90"/>
                <w:sz w:val="21"/>
                <w:szCs w:val="21"/>
              </w:rPr>
            </w:pPr>
            <w:r>
              <w:rPr>
                <w:rFonts w:hint="eastAsia" w:ascii="宋体" w:hAnsi="宋体" w:eastAsia="仿宋_GB2312" w:cs="仿宋_GB2312"/>
                <w:color w:val="auto"/>
                <w:sz w:val="21"/>
                <w:szCs w:val="21"/>
              </w:rPr>
              <w:t>□建筑面积≥</w:t>
            </w:r>
            <w:r>
              <w:rPr>
                <w:rFonts w:ascii="Times New Roman" w:hAnsi="Times New Roman" w:eastAsia="仿宋_GB2312"/>
                <w:color w:val="auto"/>
                <w:sz w:val="21"/>
                <w:szCs w:val="21"/>
              </w:rPr>
              <w:t>2000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仿宋_GB2312" w:hAnsi="仿宋_GB2312" w:eastAsia="仿宋_GB2312" w:cs="仿宋_GB2312"/>
                <w:color w:val="auto"/>
                <w:sz w:val="21"/>
                <w:szCs w:val="21"/>
              </w:rPr>
              <w:t>的公共图书馆、展览馆、博物馆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□市级以上文物保护单位    □4A级以上旅游景区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七、发电厂和电网经营场所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□发电厂</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 xml:space="preserve">  </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 xml:space="preserve">□市级以上电力调度、供应中心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□电压等级220千伏以上的超高压输变电设施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八、易燃易爆危险品场所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□单座容积≥</w:t>
            </w:r>
            <w:r>
              <w:rPr>
                <w:rFonts w:ascii="Times New Roman" w:hAnsi="Times New Roman" w:eastAsia="仿宋_GB2312"/>
                <w:color w:val="auto"/>
                <w:sz w:val="21"/>
                <w:szCs w:val="21"/>
              </w:rPr>
              <w:t>5000</w:t>
            </w:r>
            <w:r>
              <w:rPr>
                <w:rFonts w:hint="eastAsia" w:ascii="宋体" w:hAnsi="宋体" w:eastAsia="仿宋_GB2312" w:cs="仿宋_GB2312"/>
                <w:color w:val="auto"/>
                <w:sz w:val="21"/>
                <w:szCs w:val="21"/>
              </w:rPr>
              <w:t>m</w:t>
            </w:r>
            <w:r>
              <w:rPr>
                <w:rFonts w:hint="eastAsia" w:ascii="宋体" w:hAnsi="宋体" w:eastAsia="仿宋_GB2312" w:cs="仿宋_GB2312"/>
                <w:color w:val="auto"/>
                <w:sz w:val="21"/>
                <w:szCs w:val="21"/>
                <w:vertAlign w:val="superscript"/>
              </w:rPr>
              <w:t>3</w:t>
            </w:r>
            <w:r>
              <w:rPr>
                <w:rFonts w:hint="eastAsia" w:ascii="宋体" w:hAnsi="宋体" w:eastAsia="仿宋_GB2312" w:cs="仿宋_GB2312"/>
                <w:color w:val="auto"/>
                <w:sz w:val="21"/>
                <w:szCs w:val="21"/>
              </w:rPr>
              <w:t>或总容积≥</w:t>
            </w:r>
            <w:r>
              <w:rPr>
                <w:rFonts w:ascii="Times New Roman" w:hAnsi="Times New Roman" w:eastAsia="仿宋_GB2312"/>
                <w:color w:val="auto"/>
                <w:sz w:val="21"/>
                <w:szCs w:val="21"/>
              </w:rPr>
              <w:t>20000</w:t>
            </w:r>
            <w:r>
              <w:rPr>
                <w:rFonts w:hint="eastAsia" w:ascii="宋体" w:hAnsi="宋体" w:eastAsia="仿宋_GB2312" w:cs="仿宋_GB2312"/>
                <w:color w:val="auto"/>
                <w:sz w:val="21"/>
                <w:szCs w:val="21"/>
              </w:rPr>
              <w:t>m</w:t>
            </w:r>
            <w:r>
              <w:rPr>
                <w:rFonts w:hint="eastAsia" w:ascii="宋体" w:hAnsi="宋体" w:eastAsia="仿宋_GB2312" w:cs="仿宋_GB2312"/>
                <w:color w:val="auto"/>
                <w:sz w:val="21"/>
                <w:szCs w:val="21"/>
                <w:vertAlign w:val="superscript"/>
              </w:rPr>
              <w:t>3</w:t>
            </w:r>
            <w:r>
              <w:rPr>
                <w:rFonts w:hint="eastAsia" w:ascii="宋体" w:hAnsi="宋体" w:eastAsia="仿宋_GB2312" w:cs="仿宋_GB2312"/>
                <w:color w:val="auto"/>
                <w:sz w:val="21"/>
                <w:szCs w:val="21"/>
              </w:rPr>
              <w:t>以上的甲、乙类储罐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宋体" w:eastAsia="仿宋_GB2312" w:cs="仿宋_GB2312"/>
                <w:color w:val="auto"/>
                <w:sz w:val="21"/>
                <w:szCs w:val="21"/>
              </w:rPr>
            </w:pPr>
            <w:r>
              <w:rPr>
                <w:rFonts w:hint="eastAsia" w:ascii="宋体" w:hAnsi="宋体" w:eastAsia="仿宋_GB2312" w:cs="仿宋_GB2312"/>
                <w:color w:val="auto"/>
                <w:sz w:val="21"/>
                <w:szCs w:val="21"/>
              </w:rPr>
              <w:t>□总建筑面积≥</w:t>
            </w:r>
            <w:r>
              <w:rPr>
                <w:rFonts w:ascii="Times New Roman" w:hAnsi="Times New Roman" w:eastAsia="仿宋_GB2312"/>
                <w:color w:val="auto"/>
                <w:sz w:val="21"/>
                <w:szCs w:val="21"/>
              </w:rPr>
              <w:t>1000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²的</w:t>
            </w:r>
            <w:r>
              <w:rPr>
                <w:rFonts w:hint="eastAsia" w:ascii="宋体" w:hAnsi="宋体" w:eastAsia="仿宋_GB2312" w:cs="仿宋_GB2312"/>
                <w:color w:val="auto"/>
                <w:sz w:val="21"/>
                <w:szCs w:val="21"/>
              </w:rPr>
              <w:t>甲类厂房和总建筑面积≥</w:t>
            </w:r>
            <w:r>
              <w:rPr>
                <w:rFonts w:ascii="Times New Roman" w:hAnsi="Times New Roman" w:eastAsia="仿宋_GB2312"/>
                <w:color w:val="auto"/>
                <w:sz w:val="21"/>
                <w:szCs w:val="21"/>
              </w:rPr>
              <w:t>2000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宋体" w:hAnsi="宋体" w:eastAsia="仿宋_GB2312" w:cs="仿宋_GB2312"/>
                <w:color w:val="auto"/>
                <w:sz w:val="21"/>
                <w:szCs w:val="21"/>
              </w:rPr>
              <w:t>的乙类厂房</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 xml:space="preserve"> □易燃易爆气体和液体的充装站、供应站、调压站（不含汽车加油加气站）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宋体" w:eastAsia="仿宋_GB2312" w:cs="仿宋_GB2312"/>
                <w:color w:val="auto"/>
                <w:sz w:val="21"/>
                <w:szCs w:val="21"/>
                <w:vertAlign w:val="superscript"/>
              </w:rPr>
            </w:pPr>
            <w:r>
              <w:rPr>
                <w:rFonts w:hint="eastAsia" w:ascii="宋体" w:hAnsi="宋体" w:eastAsia="仿宋_GB2312" w:cs="仿宋_GB2312"/>
                <w:color w:val="auto"/>
                <w:sz w:val="21"/>
                <w:szCs w:val="21"/>
              </w:rPr>
              <w:t>□总建筑面积≥</w:t>
            </w:r>
            <w:r>
              <w:rPr>
                <w:rFonts w:ascii="Times New Roman" w:hAnsi="Times New Roman" w:eastAsia="方正楷体_GBK"/>
                <w:color w:val="auto"/>
                <w:sz w:val="21"/>
                <w:szCs w:val="21"/>
              </w:rPr>
              <w:t>500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宋体" w:hAnsi="宋体" w:eastAsia="仿宋_GB2312" w:cs="仿宋_GB2312"/>
                <w:color w:val="auto"/>
                <w:sz w:val="21"/>
                <w:szCs w:val="21"/>
              </w:rPr>
              <w:t>的甲类仓库和总建筑面积≥</w:t>
            </w:r>
            <w:r>
              <w:rPr>
                <w:rFonts w:ascii="Times New Roman" w:hAnsi="Times New Roman" w:eastAsia="仿宋_GB2312"/>
                <w:color w:val="auto"/>
                <w:sz w:val="21"/>
                <w:szCs w:val="21"/>
              </w:rPr>
              <w:t>1000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宋体" w:hAnsi="宋体" w:eastAsia="仿宋_GB2312" w:cs="仿宋_GB2312"/>
                <w:color w:val="auto"/>
                <w:sz w:val="21"/>
                <w:szCs w:val="21"/>
              </w:rPr>
              <w:t>的乙类仓库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□占地面积≥</w:t>
            </w:r>
            <w:r>
              <w:rPr>
                <w:rFonts w:ascii="Times New Roman" w:hAnsi="Times New Roman" w:eastAsia="仿宋_GB2312"/>
                <w:color w:val="auto"/>
                <w:sz w:val="21"/>
                <w:szCs w:val="21"/>
              </w:rPr>
              <w:t>10000</w:t>
            </w:r>
            <w:r>
              <w:rPr>
                <w:rFonts w:ascii="仿宋_GB2312" w:hAnsi="Times New Roman" w:eastAsia="仿宋_GB2312" w:cs="仿宋_GB2312"/>
                <w:color w:val="auto"/>
                <w:sz w:val="21"/>
                <w:szCs w:val="21"/>
              </w:rPr>
              <w:t>m</w:t>
            </w:r>
            <w:r>
              <w:rPr>
                <w:rFonts w:hint="eastAsia" w:ascii="宋体" w:hAnsi="宋体" w:eastAsia="宋体" w:cs="宋体"/>
                <w:color w:val="auto"/>
                <w:sz w:val="21"/>
                <w:szCs w:val="21"/>
              </w:rPr>
              <w:t>²</w:t>
            </w:r>
            <w:r>
              <w:rPr>
                <w:rFonts w:hint="eastAsia" w:ascii="宋体" w:hAnsi="宋体" w:eastAsia="仿宋_GB2312" w:cs="仿宋_GB2312"/>
                <w:color w:val="auto"/>
                <w:sz w:val="21"/>
                <w:szCs w:val="21"/>
              </w:rPr>
              <w:t>的工艺装置      □二级加油站、加气站或加油加气站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w w:val="80"/>
                <w:sz w:val="21"/>
                <w:szCs w:val="21"/>
              </w:rPr>
            </w:pPr>
            <w:r>
              <w:rPr>
                <w:rFonts w:hint="eastAsia" w:ascii="宋体" w:hAnsi="宋体" w:eastAsia="仿宋_GB2312" w:cs="仿宋_GB2312"/>
                <w:b/>
                <w:color w:val="auto"/>
                <w:sz w:val="21"/>
                <w:szCs w:val="21"/>
              </w:rPr>
              <w:t>□九、生产车间总建筑面积≥</w:t>
            </w:r>
            <w:r>
              <w:rPr>
                <w:rFonts w:hint="eastAsia" w:ascii="仿宋_GB2312" w:hAnsi="Times New Roman" w:eastAsia="仿宋_GB2312" w:cs="仿宋_GB2312"/>
                <w:b/>
                <w:color w:val="auto"/>
                <w:sz w:val="21"/>
                <w:szCs w:val="21"/>
              </w:rPr>
              <w:t>5</w:t>
            </w:r>
            <w:r>
              <w:rPr>
                <w:rFonts w:ascii="仿宋_GB2312" w:hAnsi="Times New Roman" w:eastAsia="仿宋_GB2312" w:cs="仿宋_GB2312"/>
                <w:b/>
                <w:color w:val="auto"/>
                <w:sz w:val="21"/>
                <w:szCs w:val="21"/>
              </w:rPr>
              <w:t>00</w:t>
            </w:r>
            <w:r>
              <w:rPr>
                <w:rFonts w:hint="eastAsia" w:ascii="仿宋_GB2312" w:hAnsi="Times New Roman" w:eastAsia="仿宋_GB2312" w:cs="仿宋_GB2312"/>
                <w:b/>
                <w:color w:val="auto"/>
                <w:sz w:val="21"/>
                <w:szCs w:val="21"/>
              </w:rPr>
              <w:t>0</w:t>
            </w:r>
            <w:r>
              <w:rPr>
                <w:rFonts w:ascii="仿宋_GB2312" w:hAnsi="Times New Roman" w:eastAsia="仿宋_GB2312" w:cs="仿宋_GB2312"/>
                <w:b/>
                <w:color w:val="auto"/>
                <w:sz w:val="21"/>
                <w:szCs w:val="21"/>
              </w:rPr>
              <w:t>m</w:t>
            </w:r>
            <w:r>
              <w:rPr>
                <w:rFonts w:hint="eastAsia" w:ascii="宋体" w:hAnsi="宋体" w:eastAsia="宋体" w:cs="宋体"/>
                <w:b/>
                <w:color w:val="auto"/>
                <w:sz w:val="21"/>
                <w:szCs w:val="21"/>
              </w:rPr>
              <w:t>²</w:t>
            </w:r>
            <w:r>
              <w:rPr>
                <w:rFonts w:hint="eastAsia" w:ascii="宋体" w:hAnsi="宋体" w:eastAsia="仿宋_GB2312" w:cs="仿宋_GB2312"/>
                <w:b/>
                <w:color w:val="auto"/>
                <w:sz w:val="21"/>
                <w:szCs w:val="21"/>
              </w:rPr>
              <w:t>的服装、鞋帽、玩具、电子、木制品、家具、塑料、食品、纺织、印染、印刷等劳动密集型生产、加工企业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ascii="仿宋_GB2312" w:hAnsi="Times New Roman" w:eastAsia="仿宋_GB2312" w:cs="仿宋_GB2312"/>
                <w:b/>
                <w:color w:val="auto"/>
                <w:sz w:val="21"/>
                <w:szCs w:val="21"/>
              </w:rPr>
              <w:t>十、金融机构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□分行级以上的银行办公场所             □银行业、保险业、证券业数据处理中心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hint="eastAsia" w:ascii="宋体" w:hAnsi="宋体" w:eastAsia="仿宋_GB2312" w:cs="仿宋_GB2312"/>
                <w:b/>
                <w:color w:val="auto"/>
                <w:sz w:val="21"/>
                <w:szCs w:val="21"/>
              </w:rPr>
              <w:t>□十一、总建筑面积≥</w:t>
            </w:r>
            <w:r>
              <w:rPr>
                <w:rFonts w:ascii="Times New Roman" w:hAnsi="Times New Roman" w:eastAsia="仿宋_GB2312"/>
                <w:b/>
                <w:color w:val="auto"/>
                <w:sz w:val="21"/>
                <w:szCs w:val="21"/>
              </w:rPr>
              <w:t>2000</w:t>
            </w:r>
            <w:r>
              <w:rPr>
                <w:rFonts w:ascii="仿宋_GB2312" w:hAnsi="Times New Roman" w:eastAsia="仿宋_GB2312" w:cs="仿宋_GB2312"/>
                <w:b/>
                <w:color w:val="auto"/>
                <w:sz w:val="21"/>
                <w:szCs w:val="21"/>
              </w:rPr>
              <w:t>m</w:t>
            </w:r>
            <w:r>
              <w:rPr>
                <w:rFonts w:hint="eastAsia" w:ascii="宋体" w:hAnsi="宋体" w:eastAsia="宋体" w:cs="宋体"/>
                <w:b/>
                <w:color w:val="auto"/>
                <w:sz w:val="21"/>
                <w:szCs w:val="21"/>
              </w:rPr>
              <w:t>²</w:t>
            </w:r>
            <w:bookmarkStart w:id="0" w:name="_GoBack"/>
            <w:bookmarkEnd w:id="0"/>
            <w:r>
              <w:rPr>
                <w:rFonts w:hint="eastAsia" w:ascii="仿宋_GB2312" w:hAnsi="仿宋_GB2312" w:eastAsia="仿宋_GB2312" w:cs="仿宋_GB2312"/>
                <w:b/>
                <w:color w:val="auto"/>
                <w:sz w:val="21"/>
                <w:szCs w:val="21"/>
              </w:rPr>
              <w:t>的宗教活动场所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宋体" w:eastAsia="仿宋_GB2312" w:cs="仿宋_GB2312"/>
                <w:b/>
                <w:color w:val="auto"/>
                <w:sz w:val="21"/>
                <w:szCs w:val="21"/>
              </w:rPr>
            </w:pPr>
            <w:r>
              <w:rPr>
                <w:rFonts w:ascii="宋体" w:hAnsi="宋体" w:eastAsia="仿宋_GB2312" w:cs="仿宋_GB2312"/>
                <w:b/>
                <w:color w:val="auto"/>
                <w:sz w:val="21"/>
                <w:szCs w:val="21"/>
              </w:rPr>
              <w:t>十二、其他发生火灾可能性较大以及发生火灾可能造成重大的人身伤亡或者财产损失的场所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b/>
                <w:color w:val="auto"/>
                <w:sz w:val="21"/>
                <w:szCs w:val="21"/>
              </w:rPr>
            </w:pPr>
            <w:r>
              <w:rPr>
                <w:rFonts w:hint="eastAsia" w:ascii="宋体" w:hAnsi="宋体" w:eastAsia="仿宋_GB2312" w:cs="仿宋_GB2312"/>
                <w:color w:val="auto"/>
                <w:sz w:val="21"/>
                <w:szCs w:val="21"/>
              </w:rPr>
              <w:t>□高层、地下公共建筑（不含民用住宅及其附属地下停车场部分）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□总储存能力≥</w:t>
            </w:r>
            <w:r>
              <w:rPr>
                <w:rFonts w:ascii="Times New Roman" w:hAnsi="Times New Roman" w:eastAsia="仿宋_GB2312"/>
                <w:color w:val="auto"/>
                <w:sz w:val="21"/>
                <w:szCs w:val="21"/>
              </w:rPr>
              <w:t>10000</w:t>
            </w:r>
            <w:r>
              <w:rPr>
                <w:rFonts w:hint="eastAsia" w:ascii="宋体" w:hAnsi="宋体" w:eastAsia="仿宋_GB2312" w:cs="仿宋_GB2312"/>
                <w:color w:val="auto"/>
                <w:sz w:val="21"/>
                <w:szCs w:val="21"/>
              </w:rPr>
              <w:t>吨的粮油仓库和存储物资价值≥</w:t>
            </w:r>
            <w:r>
              <w:rPr>
                <w:rFonts w:hint="eastAsia" w:ascii="Times New Roman" w:hAnsi="Times New Roman" w:eastAsia="仿宋_GB2312"/>
                <w:color w:val="auto"/>
                <w:sz w:val="21"/>
                <w:szCs w:val="21"/>
              </w:rPr>
              <w:t>2</w:t>
            </w:r>
            <w:r>
              <w:rPr>
                <w:rFonts w:hint="eastAsia" w:ascii="宋体" w:hAnsi="宋体" w:eastAsia="仿宋_GB2312" w:cs="仿宋_GB2312"/>
                <w:color w:val="auto"/>
                <w:sz w:val="21"/>
                <w:szCs w:val="21"/>
              </w:rPr>
              <w:t>亿元的其他物资仓库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Times New Roman" w:eastAsia="仿宋_GB2312" w:cs="仿宋_GB2312"/>
                <w:b/>
                <w:color w:val="auto"/>
                <w:sz w:val="21"/>
                <w:szCs w:val="21"/>
              </w:rPr>
            </w:pPr>
            <w:r>
              <w:rPr>
                <w:rFonts w:hint="eastAsia" w:ascii="宋体" w:hAnsi="宋体" w:eastAsia="仿宋_GB2312" w:cs="仿宋_GB2312"/>
                <w:color w:val="auto"/>
                <w:sz w:val="21"/>
                <w:szCs w:val="21"/>
              </w:rPr>
              <w:t>□固定资产（不含土地费用）总价值5亿元以上的其他产业活动场所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宋体" w:hAnsi="宋体" w:eastAsia="仿宋_GB2312" w:cs="仿宋_GB2312"/>
                <w:b/>
                <w:color w:val="auto"/>
                <w:sz w:val="21"/>
                <w:szCs w:val="21"/>
              </w:rPr>
            </w:pPr>
            <w:r>
              <w:rPr>
                <w:rFonts w:hint="eastAsia" w:ascii="宋体" w:hAnsi="宋体" w:eastAsia="仿宋_GB2312" w:cs="仿宋_GB2312"/>
                <w:color w:val="auto"/>
                <w:sz w:val="21"/>
                <w:szCs w:val="21"/>
              </w:rPr>
              <w:t>□经消防性能化设计建筑</w:t>
            </w:r>
            <w:r>
              <w:rPr>
                <w:rFonts w:ascii="宋体" w:hAnsi="宋体" w:eastAsia="仿宋_GB2312" w:cs="仿宋_GB2312"/>
                <w:color w:val="auto"/>
                <w:sz w:val="21"/>
                <w:szCs w:val="21"/>
              </w:rPr>
              <w:t xml:space="preserve">  </w:t>
            </w:r>
            <w:r>
              <w:rPr>
                <w:rFonts w:hint="eastAsia" w:ascii="宋体" w:hAnsi="宋体" w:eastAsia="仿宋_GB2312" w:cs="仿宋_GB2312"/>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65" w:type="dxa"/>
            <w:vMerge w:val="continue"/>
            <w:noWrap w:val="0"/>
            <w:vAlign w:val="center"/>
          </w:tcPr>
          <w:p>
            <w:pPr>
              <w:spacing w:line="240" w:lineRule="exact"/>
              <w:rPr>
                <w:rFonts w:ascii="仿宋_GB2312" w:hAnsi="Times New Roman" w:eastAsia="仿宋_GB2312" w:cs="仿宋_GB2312"/>
                <w:color w:val="auto"/>
                <w:sz w:val="21"/>
                <w:szCs w:val="21"/>
              </w:rPr>
            </w:pPr>
          </w:p>
        </w:tc>
        <w:tc>
          <w:tcPr>
            <w:tcW w:w="8649" w:type="dxa"/>
            <w:gridSpan w:val="7"/>
            <w:noWrap w:val="0"/>
            <w:vAlign w:val="center"/>
          </w:tcPr>
          <w:p>
            <w:pPr>
              <w:spacing w:line="240" w:lineRule="exact"/>
              <w:rPr>
                <w:rFonts w:ascii="仿宋_GB2312" w:hAnsi="Times New Roman" w:eastAsia="仿宋_GB2312" w:cs="仿宋_GB2312"/>
                <w:color w:val="auto"/>
                <w:sz w:val="21"/>
                <w:szCs w:val="21"/>
              </w:rPr>
            </w:pPr>
            <w:r>
              <w:rPr>
                <w:rFonts w:hint="eastAsia" w:ascii="宋体" w:hAnsi="宋体" w:eastAsia="仿宋_GB2312" w:cs="仿宋_GB2312"/>
                <w:color w:val="auto"/>
                <w:sz w:val="21"/>
                <w:szCs w:val="21"/>
              </w:rPr>
              <w:t>□其他特别是新型业态具有较高火灾危险且易造成重大人员伤亡或者重大财产损失或重大社会影响的场所（各地可结合实际研究确定）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3" w:hRule="atLeast"/>
        </w:trPr>
        <w:tc>
          <w:tcPr>
            <w:tcW w:w="9214" w:type="dxa"/>
            <w:gridSpan w:val="8"/>
            <w:noWrap w:val="0"/>
            <w:vAlign w:val="center"/>
          </w:tcPr>
          <w:p>
            <w:pPr>
              <w:spacing w:line="400" w:lineRule="exact"/>
              <w:ind w:firstLine="482"/>
              <w:rPr>
                <w:rFonts w:ascii="仿宋_GB2312" w:hAnsi="Times New Roman" w:eastAsia="仿宋_GB2312" w:cs="仿宋_GB2312"/>
                <w:color w:val="auto"/>
                <w:sz w:val="21"/>
                <w:szCs w:val="21"/>
              </w:rPr>
            </w:pPr>
            <w:r>
              <w:rPr>
                <w:rFonts w:hint="eastAsia" w:ascii="仿宋_GB2312" w:hAnsi="Times New Roman" w:eastAsia="仿宋_GB2312" w:cs="仿宋_GB2312"/>
                <w:color w:val="auto"/>
                <w:sz w:val="21"/>
                <w:szCs w:val="21"/>
              </w:rPr>
              <w:t>根据《机关、团体、企业、事业单位消防安全管理规定》（公安部第</w:t>
            </w:r>
            <w:r>
              <w:rPr>
                <w:rFonts w:ascii="仿宋_GB2312" w:hAnsi="Times New Roman" w:eastAsia="仿宋_GB2312" w:cs="仿宋_GB2312"/>
                <w:color w:val="auto"/>
                <w:sz w:val="21"/>
                <w:szCs w:val="21"/>
              </w:rPr>
              <w:t>61</w:t>
            </w:r>
            <w:r>
              <w:rPr>
                <w:rFonts w:hint="eastAsia" w:ascii="仿宋_GB2312" w:hAnsi="Times New Roman" w:eastAsia="仿宋_GB2312" w:cs="仿宋_GB2312"/>
                <w:color w:val="auto"/>
                <w:sz w:val="21"/>
                <w:szCs w:val="21"/>
              </w:rPr>
              <w:t>号令）、宁夏回族自治区消防安全重点单位界定标准》（2013年8月修订）和《宁夏回族自治区公安派出所消防工作规定》，我单位属消防安全重点单位，特此申报。</w:t>
            </w:r>
          </w:p>
          <w:p>
            <w:pPr>
              <w:spacing w:line="400" w:lineRule="exact"/>
              <w:ind w:firstLine="482"/>
              <w:rPr>
                <w:rFonts w:ascii="仿宋_GB2312" w:hAnsi="Times New Roman" w:eastAsia="仿宋_GB2312" w:cs="仿宋_GB2312"/>
                <w:color w:val="auto"/>
                <w:sz w:val="21"/>
                <w:szCs w:val="21"/>
              </w:rPr>
            </w:pPr>
          </w:p>
          <w:p>
            <w:pPr>
              <w:spacing w:line="400" w:lineRule="exact"/>
              <w:ind w:firstLine="482"/>
              <w:rPr>
                <w:rFonts w:ascii="仿宋_GB2312" w:hAnsi="Times New Roman" w:eastAsia="仿宋_GB2312" w:cs="仿宋_GB2312"/>
                <w:color w:val="auto"/>
                <w:sz w:val="21"/>
                <w:szCs w:val="21"/>
              </w:rPr>
            </w:pPr>
            <w:r>
              <w:rPr>
                <w:rFonts w:ascii="仿宋_GB2312" w:hAnsi="Times New Roman" w:eastAsia="仿宋_GB2312" w:cs="仿宋_GB2312"/>
                <w:color w:val="auto"/>
                <w:sz w:val="21"/>
                <w:szCs w:val="21"/>
              </w:rPr>
              <w:t xml:space="preserve">                                       </w:t>
            </w:r>
            <w:r>
              <w:rPr>
                <w:rFonts w:hint="eastAsia" w:ascii="仿宋_GB2312" w:hAnsi="Times New Roman" w:eastAsia="仿宋_GB2312" w:cs="仿宋_GB2312"/>
                <w:color w:val="auto"/>
                <w:sz w:val="21"/>
                <w:szCs w:val="21"/>
              </w:rPr>
              <w:t>单位（盖章）</w:t>
            </w:r>
          </w:p>
          <w:p>
            <w:pPr>
              <w:spacing w:line="400" w:lineRule="exact"/>
              <w:ind w:firstLine="482"/>
              <w:rPr>
                <w:rFonts w:ascii="仿宋_GB2312" w:hAnsi="Times New Roman" w:eastAsia="仿宋_GB2312" w:cs="仿宋_GB2312"/>
                <w:color w:val="auto"/>
                <w:sz w:val="21"/>
                <w:szCs w:val="21"/>
              </w:rPr>
            </w:pPr>
          </w:p>
          <w:p>
            <w:pPr>
              <w:spacing w:line="400" w:lineRule="exact"/>
              <w:ind w:firstLine="482"/>
              <w:rPr>
                <w:rFonts w:ascii="仿宋_GB2312" w:hAnsi="Times New Roman" w:eastAsia="仿宋_GB2312" w:cs="仿宋_GB2312"/>
                <w:color w:val="auto"/>
                <w:sz w:val="21"/>
                <w:szCs w:val="21"/>
              </w:rPr>
            </w:pPr>
            <w:r>
              <w:rPr>
                <w:rFonts w:ascii="仿宋_GB2312" w:hAnsi="Times New Roman" w:eastAsia="仿宋_GB2312" w:cs="仿宋_GB2312"/>
                <w:color w:val="auto"/>
                <w:sz w:val="21"/>
                <w:szCs w:val="21"/>
              </w:rPr>
              <w:t xml:space="preserve">                                     </w:t>
            </w:r>
            <w:r>
              <w:rPr>
                <w:rFonts w:hint="eastAsia" w:ascii="仿宋_GB2312" w:hAnsi="Times New Roman" w:eastAsia="仿宋_GB2312" w:cs="仿宋_GB2312"/>
                <w:color w:val="auto"/>
                <w:sz w:val="21"/>
                <w:szCs w:val="21"/>
              </w:rPr>
              <w:t>法定代表人（签名）：</w:t>
            </w:r>
          </w:p>
          <w:p>
            <w:pPr>
              <w:spacing w:line="400" w:lineRule="exact"/>
              <w:ind w:firstLine="482"/>
              <w:rPr>
                <w:rFonts w:ascii="仿宋_GB2312" w:hAnsi="Times New Roman" w:eastAsia="仿宋_GB2312" w:cs="仿宋_GB2312"/>
                <w:color w:val="auto"/>
                <w:sz w:val="21"/>
                <w:szCs w:val="21"/>
              </w:rPr>
            </w:pPr>
          </w:p>
          <w:p>
            <w:pPr>
              <w:spacing w:line="400" w:lineRule="exact"/>
              <w:ind w:firstLine="482"/>
              <w:rPr>
                <w:rFonts w:ascii="仿宋_GB2312" w:hAnsi="Times New Roman" w:eastAsia="仿宋_GB2312" w:cs="仿宋_GB2312"/>
                <w:color w:val="auto"/>
                <w:sz w:val="21"/>
                <w:szCs w:val="21"/>
              </w:rPr>
            </w:pPr>
            <w:r>
              <w:rPr>
                <w:rFonts w:ascii="仿宋_GB2312" w:hAnsi="Times New Roman" w:eastAsia="仿宋_GB2312" w:cs="仿宋_GB2312"/>
                <w:color w:val="auto"/>
                <w:sz w:val="21"/>
                <w:szCs w:val="21"/>
              </w:rPr>
              <w:t xml:space="preserve">                                          </w:t>
            </w:r>
            <w:r>
              <w:rPr>
                <w:rFonts w:hint="eastAsia" w:ascii="仿宋_GB2312" w:hAnsi="Times New Roman" w:eastAsia="仿宋_GB2312" w:cs="仿宋_GB2312"/>
                <w:color w:val="auto"/>
                <w:sz w:val="21"/>
                <w:szCs w:val="21"/>
              </w:rPr>
              <w:t>年</w:t>
            </w:r>
            <w:r>
              <w:rPr>
                <w:rFonts w:ascii="仿宋_GB2312" w:hAnsi="Times New Roman" w:eastAsia="仿宋_GB2312" w:cs="仿宋_GB2312"/>
                <w:color w:val="auto"/>
                <w:sz w:val="21"/>
                <w:szCs w:val="21"/>
              </w:rPr>
              <w:t xml:space="preserve">       </w:t>
            </w:r>
            <w:r>
              <w:rPr>
                <w:rFonts w:hint="eastAsia" w:ascii="仿宋_GB2312" w:hAnsi="Times New Roman" w:eastAsia="仿宋_GB2312" w:cs="仿宋_GB2312"/>
                <w:color w:val="auto"/>
                <w:sz w:val="21"/>
                <w:szCs w:val="21"/>
              </w:rPr>
              <w:t>月</w:t>
            </w:r>
            <w:r>
              <w:rPr>
                <w:rFonts w:ascii="仿宋_GB2312" w:hAnsi="Times New Roman" w:eastAsia="仿宋_GB2312" w:cs="仿宋_GB2312"/>
                <w:color w:val="auto"/>
                <w:sz w:val="21"/>
                <w:szCs w:val="21"/>
              </w:rPr>
              <w:t xml:space="preserve">       </w:t>
            </w:r>
            <w:r>
              <w:rPr>
                <w:rFonts w:hint="eastAsia" w:ascii="仿宋_GB2312" w:hAnsi="Times New Roman" w:eastAsia="仿宋_GB2312" w:cs="仿宋_GB2312"/>
                <w:color w:val="auto"/>
                <w:sz w:val="21"/>
                <w:szCs w:val="21"/>
              </w:rPr>
              <w:t>日</w:t>
            </w:r>
          </w:p>
        </w:tc>
      </w:tr>
    </w:tbl>
    <w:p>
      <w:pPr>
        <w:ind w:firstLine="480"/>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注：1、确定重点单位属性时，应依据《宁夏回族自治区消防安全重点单位界定标准》（2013年8月修订）（</w:t>
      </w:r>
      <w:r>
        <w:rPr>
          <w:rFonts w:ascii="仿宋_GB2312" w:hAnsi="Times New Roman" w:eastAsia="仿宋_GB2312" w:cs="仿宋_GB2312"/>
          <w:color w:val="auto"/>
          <w:sz w:val="24"/>
          <w:szCs w:val="24"/>
        </w:rPr>
        <w:t>宁公通〔2013〕142号</w:t>
      </w:r>
      <w:r>
        <w:rPr>
          <w:rFonts w:hint="eastAsia" w:ascii="仿宋_GB2312" w:hAnsi="Times New Roman" w:eastAsia="仿宋_GB2312" w:cs="仿宋_GB2312"/>
          <w:color w:val="auto"/>
          <w:sz w:val="24"/>
          <w:szCs w:val="24"/>
        </w:rPr>
        <w:t>）的规定。</w:t>
      </w:r>
    </w:p>
    <w:p>
      <w:pPr>
        <w:ind w:firstLine="480"/>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2、消防安全安全责任人即法人单位的法工代表或者非法人单位的主要责任人；消防安全管理人即单位分管消防安全管理工作的主要负责人。</w:t>
      </w:r>
    </w:p>
    <w:p>
      <w:pPr>
        <w:ind w:firstLine="480"/>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3、消防工作归口管理部门即本单位消防安全管理人工作的具体实施部门。</w:t>
      </w:r>
    </w:p>
    <w:p>
      <w:pPr>
        <w:ind w:firstLine="480"/>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4、对于有两个以上符合界定标准的产权单位或使用单位的建筑物，各产权单位、使用单位应当各自独立列入重点单位。</w:t>
      </w:r>
    </w:p>
    <w:p>
      <w:pPr>
        <w:ind w:firstLine="480"/>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5、政府多个部门如合并在一所建筑内办公，且该建筑有综合管理部门，可以按一个重点单位申报，建筑的综合管理部门作为消防安全责任人。</w:t>
      </w:r>
    </w:p>
    <w:p>
      <w:pPr>
        <w:ind w:firstLine="480"/>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6、在填写“申报单位属性”时，申报人只需要表中相应部位的“</w:t>
      </w:r>
      <w:r>
        <w:rPr>
          <w:rFonts w:hint="eastAsia" w:ascii="宋体" w:hAnsi="宋体" w:eastAsia="仿宋_GB2312" w:cs="仿宋_GB2312"/>
          <w:color w:val="auto"/>
          <w:sz w:val="21"/>
          <w:szCs w:val="21"/>
        </w:rPr>
        <w:t>□</w:t>
      </w:r>
      <w:r>
        <w:rPr>
          <w:rFonts w:hint="eastAsia" w:ascii="仿宋_GB2312" w:hAnsi="Times New Roman" w:eastAsia="仿宋_GB2312" w:cs="仿宋_GB2312"/>
          <w:color w:val="auto"/>
          <w:sz w:val="24"/>
          <w:szCs w:val="24"/>
        </w:rPr>
        <w:t>”内打“√”。单位如同时存在多个属性，应对照“申报单位属性”在对应的条款前“</w:t>
      </w:r>
      <w:r>
        <w:rPr>
          <w:rFonts w:hint="eastAsia" w:ascii="宋体" w:hAnsi="宋体" w:eastAsia="仿宋_GB2312" w:cs="仿宋_GB2312"/>
          <w:color w:val="auto"/>
          <w:sz w:val="21"/>
          <w:szCs w:val="21"/>
        </w:rPr>
        <w:t>□</w:t>
      </w:r>
      <w:r>
        <w:rPr>
          <w:rFonts w:hint="eastAsia" w:ascii="仿宋_GB2312" w:hAnsi="Times New Roman" w:eastAsia="仿宋_GB2312" w:cs="仿宋_GB2312"/>
          <w:color w:val="auto"/>
          <w:sz w:val="24"/>
          <w:szCs w:val="24"/>
        </w:rPr>
        <w:t>”内分别打“√”。</w:t>
      </w:r>
    </w:p>
    <w:p>
      <w:pPr>
        <w:adjustRightInd w:val="0"/>
        <w:snapToGrid w:val="0"/>
        <w:spacing w:line="480" w:lineRule="exact"/>
        <w:ind w:firstLine="480" w:firstLineChars="200"/>
        <w:rPr>
          <w:rFonts w:hint="eastAsia" w:ascii="Times New Roman" w:hAnsi="Times New Roman" w:eastAsia="仿宋_GB2312"/>
          <w:color w:val="auto"/>
          <w:sz w:val="28"/>
          <w:szCs w:val="28"/>
        </w:rPr>
      </w:pPr>
      <w:r>
        <w:rPr>
          <w:rFonts w:hint="eastAsia" w:ascii="仿宋_GB2312" w:hAnsi="Times New Roman" w:eastAsia="仿宋_GB2312" w:cs="仿宋_GB2312"/>
          <w:color w:val="auto"/>
          <w:sz w:val="24"/>
          <w:szCs w:val="24"/>
        </w:rPr>
        <w:t>7、此表应正反面打印。</w:t>
      </w:r>
    </w:p>
    <w:p>
      <w:pPr>
        <w:spacing w:line="600" w:lineRule="exact"/>
        <w:ind w:firstLine="420" w:firstLineChars="200"/>
        <w:rPr>
          <w:rFonts w:ascii="Times New Roman" w:hAnsi="Times New Roman"/>
          <w:color w:val="auto"/>
          <w:kern w:val="0"/>
          <w:szCs w:val="32"/>
        </w:rPr>
      </w:pPr>
    </w:p>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NTFmY2YzZDRmZTM1MzI4NDI5ZDA1YmE3NTQ4NmEifQ=="/>
  </w:docVars>
  <w:rsids>
    <w:rsidRoot w:val="1A785609"/>
    <w:rsid w:val="0BF254A5"/>
    <w:rsid w:val="1A785609"/>
    <w:rsid w:val="1F6C5CFA"/>
    <w:rsid w:val="219A0463"/>
    <w:rsid w:val="21C9227E"/>
    <w:rsid w:val="79B9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2024-02-09T01:34:00Z</dcterms:created>
  <dc:creator>刘小青</dc:creator>
  <cp:lastModifiedBy>罗成玉</cp:lastModifiedBy>
  <dcterms:modified xsi:type="dcterms:W3CDTF">2024-03-06T07:05:20Z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AAA8BF9815C44855B079CC28B687DB4E_13</vt:lpwstr>
  </property>
</Properties>
</file>